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1B49" w14:textId="45EE21C0" w:rsidR="00DA4CB1" w:rsidRPr="00C95FD1" w:rsidRDefault="00DA4CB1" w:rsidP="00DA4CB1">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#121</w:t>
      </w:r>
      <w:r w:rsidRPr="007D3E81">
        <w:rPr>
          <w:rFonts w:cs="Arial"/>
          <w:b/>
          <w:sz w:val="24"/>
          <w:szCs w:val="24"/>
        </w:rPr>
        <w:tab/>
      </w:r>
      <w:bookmarkStart w:id="0" w:name="_GoBack"/>
      <w:r w:rsidR="00F1480C" w:rsidRPr="00F1480C">
        <w:rPr>
          <w:rFonts w:cs="Arial"/>
          <w:b/>
          <w:sz w:val="24"/>
          <w:szCs w:val="24"/>
        </w:rPr>
        <w:t>R3-234253</w:t>
      </w:r>
      <w:bookmarkEnd w:id="0"/>
    </w:p>
    <w:p w14:paraId="683C782A" w14:textId="77777777" w:rsidR="00DA4CB1" w:rsidRDefault="00DA4CB1" w:rsidP="00DA4CB1">
      <w:pPr>
        <w:pStyle w:val="CRCoverPage"/>
        <w:outlineLvl w:val="0"/>
        <w:rPr>
          <w:b/>
          <w:noProof/>
          <w:sz w:val="24"/>
        </w:rPr>
      </w:pPr>
      <w:r w:rsidRPr="006649FF">
        <w:rPr>
          <w:b/>
          <w:noProof/>
          <w:sz w:val="24"/>
        </w:rPr>
        <w:t>Toulouse</w:t>
      </w:r>
      <w:r w:rsidRPr="00DE5447">
        <w:rPr>
          <w:b/>
          <w:noProof/>
          <w:sz w:val="24"/>
        </w:rPr>
        <w:t xml:space="preserve">, </w:t>
      </w:r>
      <w:r>
        <w:rPr>
          <w:b/>
          <w:noProof/>
          <w:sz w:val="24"/>
        </w:rPr>
        <w:t>France</w:t>
      </w:r>
      <w:r w:rsidRPr="00DE5447">
        <w:rPr>
          <w:b/>
          <w:noProof/>
          <w:sz w:val="24"/>
        </w:rPr>
        <w:t xml:space="preserve">, </w:t>
      </w:r>
      <w:r>
        <w:rPr>
          <w:b/>
          <w:noProof/>
          <w:sz w:val="24"/>
        </w:rPr>
        <w:t>Aug</w:t>
      </w:r>
      <w:r w:rsidRPr="00DE5447">
        <w:rPr>
          <w:b/>
          <w:noProof/>
          <w:sz w:val="24"/>
        </w:rPr>
        <w:t xml:space="preserve"> 2</w:t>
      </w:r>
      <w:r>
        <w:rPr>
          <w:b/>
          <w:noProof/>
          <w:sz w:val="24"/>
        </w:rPr>
        <w:t>1st</w:t>
      </w:r>
      <w:r w:rsidRPr="00DE5447">
        <w:rPr>
          <w:b/>
          <w:noProof/>
          <w:sz w:val="24"/>
        </w:rPr>
        <w:t xml:space="preserve"> – 2</w:t>
      </w:r>
      <w:r>
        <w:rPr>
          <w:b/>
          <w:noProof/>
          <w:sz w:val="24"/>
        </w:rPr>
        <w:t>5</w:t>
      </w:r>
      <w:r w:rsidRPr="00DE5447">
        <w:rPr>
          <w:b/>
          <w:noProof/>
          <w:sz w:val="24"/>
        </w:rPr>
        <w:t>th 202</w:t>
      </w:r>
      <w:r>
        <w:rPr>
          <w:b/>
          <w:noProof/>
          <w:sz w:val="24"/>
        </w:rPr>
        <w:t>3</w:t>
      </w:r>
    </w:p>
    <w:p w14:paraId="0717E73E" w14:textId="77777777" w:rsidR="00CD4C7B" w:rsidRPr="00376D28" w:rsidRDefault="00CD4C7B" w:rsidP="00CD4C7B">
      <w:pPr>
        <w:pStyle w:val="a3"/>
        <w:rPr>
          <w:bCs/>
          <w:noProof w:val="0"/>
          <w:sz w:val="24"/>
        </w:rPr>
      </w:pPr>
    </w:p>
    <w:p w14:paraId="3B0EF5F6" w14:textId="760ACE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DE532C">
        <w:rPr>
          <w:rFonts w:cs="Arial"/>
          <w:b/>
          <w:bCs/>
          <w:sz w:val="24"/>
          <w:lang w:val="en-US" w:eastAsia="ja-JP"/>
        </w:rPr>
        <w:t>3</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1588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Discussion on</w:t>
      </w:r>
      <w:r w:rsidR="001B7EB4">
        <w:rPr>
          <w:rFonts w:ascii="Arial" w:hAnsi="Arial" w:cs="Arial"/>
          <w:b/>
          <w:bCs/>
          <w:sz w:val="24"/>
        </w:rPr>
        <w:t xml:space="preserve"> </w:t>
      </w:r>
      <w:r w:rsidR="00DE532C">
        <w:rPr>
          <w:rFonts w:ascii="Arial" w:hAnsi="Arial" w:cs="Arial"/>
          <w:b/>
          <w:bCs/>
          <w:sz w:val="24"/>
        </w:rPr>
        <w:t>mobility</w:t>
      </w:r>
      <w:r w:rsidR="001B7EB4">
        <w:rPr>
          <w:rFonts w:ascii="Arial" w:hAnsi="Arial" w:cs="Arial"/>
          <w:b/>
          <w:bCs/>
          <w:sz w:val="24"/>
        </w:rPr>
        <w:t xml:space="preserve"> enhancement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38DB0C4D" w14:textId="7F6AB777" w:rsidR="001207F2" w:rsidRDefault="001207F2" w:rsidP="00CF0575">
      <w:r>
        <w:t xml:space="preserve">In this agenda item, NCGI reconfiguration, dynamic TAC and UE mobility enhancement during DU migration had been discussed. </w:t>
      </w:r>
      <w:r w:rsidR="00195C98">
        <w:t>The latest agreements and FFS in RAN3 are as follows.</w:t>
      </w:r>
    </w:p>
    <w:p w14:paraId="74575D17" w14:textId="77777777" w:rsidR="00195C98" w:rsidRDefault="00195C98" w:rsidP="00195C98">
      <w:pPr>
        <w:rPr>
          <w:rFonts w:ascii="Calibri" w:hAnsi="Calibri" w:cs="Calibri"/>
          <w:i/>
          <w:color w:val="FF0000"/>
          <w:sz w:val="16"/>
          <w:szCs w:val="16"/>
        </w:rPr>
      </w:pPr>
      <w:r>
        <w:rPr>
          <w:rFonts w:ascii="Calibri" w:hAnsi="Calibri" w:cs="Calibri"/>
          <w:i/>
          <w:color w:val="FF0000"/>
          <w:sz w:val="16"/>
          <w:szCs w:val="16"/>
        </w:rPr>
        <w:t>RAN3</w:t>
      </w:r>
      <w:r>
        <w:rPr>
          <w:rFonts w:ascii="Calibri" w:hAnsi="Calibri" w:cs="Calibri" w:hint="eastAsia"/>
          <w:i/>
          <w:color w:val="FF0000"/>
          <w:sz w:val="16"/>
          <w:szCs w:val="16"/>
        </w:rPr>
        <w:t>#120:</w:t>
      </w:r>
    </w:p>
    <w:p w14:paraId="569B2C32" w14:textId="77777777" w:rsidR="00195C98" w:rsidRDefault="00195C98" w:rsidP="00195C98">
      <w:pPr>
        <w:rPr>
          <w:rFonts w:ascii="Calibri" w:hAnsi="Calibri" w:cs="Calibri"/>
          <w:i/>
          <w:iCs/>
          <w:color w:val="00B050"/>
          <w:kern w:val="2"/>
          <w:sz w:val="16"/>
          <w:szCs w:val="16"/>
        </w:rPr>
      </w:pPr>
      <w:r>
        <w:rPr>
          <w:rFonts w:ascii="Calibri" w:hAnsi="Calibri" w:cs="Calibri"/>
          <w:i/>
          <w:iCs/>
          <w:color w:val="00B050"/>
          <w:kern w:val="2"/>
          <w:sz w:val="16"/>
          <w:szCs w:val="16"/>
        </w:rPr>
        <w:t>WA: As an enhancement to legacy handovers, the IAB-node may provide to the source DU’s CU a mapping between the source DU’s activated cells and the target DU’s activated cells so that the source DU’s CU can perform handover for the connected UEs.</w:t>
      </w:r>
    </w:p>
    <w:p w14:paraId="19FB6949" w14:textId="77777777" w:rsidR="00195C98" w:rsidRDefault="00195C98" w:rsidP="00195C98">
      <w:pPr>
        <w:rPr>
          <w:rFonts w:ascii="Calibri" w:hAnsi="Calibri" w:cs="Calibri"/>
          <w:i/>
          <w:iCs/>
          <w:color w:val="00B050"/>
          <w:kern w:val="2"/>
          <w:sz w:val="16"/>
          <w:szCs w:val="16"/>
        </w:rPr>
      </w:pPr>
      <w:r>
        <w:rPr>
          <w:rFonts w:ascii="Calibri" w:hAnsi="Calibri" w:cs="Calibri"/>
          <w:i/>
          <w:iCs/>
          <w:color w:val="00B050"/>
          <w:kern w:val="2"/>
          <w:sz w:val="16"/>
          <w:szCs w:val="16"/>
        </w:rPr>
        <w:t xml:space="preserve">This agreement does not relate to the configuration sharing between two logical collocated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w:t>
      </w:r>
    </w:p>
    <w:p w14:paraId="5D02D74E" w14:textId="77777777" w:rsidR="00195C98" w:rsidRDefault="00195C98" w:rsidP="00195C98">
      <w:pPr>
        <w:rPr>
          <w:rFonts w:ascii="Calibri" w:hAnsi="Calibri" w:cs="Calibri"/>
          <w:i/>
          <w:iCs/>
          <w:color w:val="00B050"/>
          <w:kern w:val="2"/>
          <w:sz w:val="16"/>
          <w:szCs w:val="16"/>
        </w:rPr>
      </w:pPr>
      <w:r>
        <w:rPr>
          <w:rFonts w:ascii="Calibri" w:hAnsi="Calibri" w:cs="Calibri"/>
          <w:i/>
          <w:color w:val="FF0000"/>
          <w:sz w:val="16"/>
          <w:szCs w:val="16"/>
        </w:rPr>
        <w:t>It is FFS whether such mapping information is needed for all activated cells.</w:t>
      </w:r>
    </w:p>
    <w:p w14:paraId="510AB79B" w14:textId="77777777" w:rsidR="00195C98" w:rsidRDefault="00195C98" w:rsidP="00195C98">
      <w:pPr>
        <w:rPr>
          <w:rFonts w:ascii="Calibri" w:hAnsi="Calibri" w:cs="Calibri"/>
          <w:i/>
          <w:iCs/>
          <w:color w:val="00B050"/>
          <w:kern w:val="2"/>
          <w:sz w:val="16"/>
          <w:szCs w:val="16"/>
        </w:rPr>
      </w:pPr>
      <w:r>
        <w:rPr>
          <w:rFonts w:ascii="Calibri" w:hAnsi="Calibri" w:cs="Calibri"/>
          <w:i/>
          <w:iCs/>
          <w:color w:val="00B050"/>
          <w:kern w:val="2"/>
          <w:sz w:val="16"/>
          <w:szCs w:val="16"/>
        </w:rPr>
        <w:t xml:space="preserve">The </w:t>
      </w:r>
      <w:proofErr w:type="spellStart"/>
      <w:r>
        <w:rPr>
          <w:rFonts w:ascii="Calibri" w:hAnsi="Calibri" w:cs="Calibri"/>
          <w:i/>
          <w:iCs/>
          <w:color w:val="00B050"/>
          <w:kern w:val="2"/>
          <w:sz w:val="16"/>
          <w:szCs w:val="16"/>
        </w:rPr>
        <w:t>mIAB</w:t>
      </w:r>
      <w:proofErr w:type="spellEnd"/>
      <w:r>
        <w:rPr>
          <w:rFonts w:ascii="Calibri" w:hAnsi="Calibri" w:cs="Calibri"/>
          <w:i/>
          <w:iCs/>
          <w:color w:val="00B050"/>
          <w:kern w:val="2"/>
          <w:sz w:val="16"/>
          <w:szCs w:val="16"/>
        </w:rPr>
        <w:t>-DU’s NCGI is configured by OAM, and, e.g.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2332A135" w14:textId="77777777" w:rsidR="00195C98" w:rsidRDefault="00195C98" w:rsidP="00195C98">
      <w:pPr>
        <w:rPr>
          <w:rFonts w:ascii="Calibri" w:hAnsi="Calibri" w:cs="Calibri"/>
          <w:i/>
          <w:iCs/>
          <w:color w:val="00B050"/>
          <w:kern w:val="2"/>
          <w:sz w:val="16"/>
          <w:szCs w:val="16"/>
        </w:rPr>
      </w:pPr>
      <w:r>
        <w:rPr>
          <w:rFonts w:ascii="Calibri" w:hAnsi="Calibri" w:cs="Calibri"/>
          <w:i/>
          <w:iCs/>
          <w:color w:val="00B050"/>
          <w:kern w:val="2"/>
          <w:sz w:val="16"/>
          <w:szCs w:val="16"/>
        </w:rPr>
        <w:t>The underlying assumption is that the DU´s OAM has visibility on the result of the CU-based CGI re-configuration. It needs to be further discussed how to ensure that such observability is supported.</w:t>
      </w:r>
    </w:p>
    <w:p w14:paraId="685F374F" w14:textId="77777777" w:rsidR="00195C98" w:rsidRDefault="00195C98" w:rsidP="00195C98">
      <w:pPr>
        <w:rPr>
          <w:rFonts w:ascii="Calibri" w:hAnsi="Calibri" w:cs="Calibri"/>
          <w:i/>
          <w:iCs/>
          <w:color w:val="00B050"/>
          <w:kern w:val="2"/>
          <w:sz w:val="16"/>
          <w:szCs w:val="16"/>
        </w:rPr>
      </w:pPr>
      <w:r>
        <w:rPr>
          <w:rFonts w:ascii="Calibri" w:hAnsi="Calibri" w:cs="Calibri"/>
          <w:i/>
          <w:iCs/>
          <w:color w:val="00B050"/>
          <w:kern w:val="2"/>
          <w:sz w:val="16"/>
          <w:szCs w:val="16"/>
        </w:rPr>
        <w:t xml:space="preserve">RAN3 to send </w:t>
      </w:r>
      <w:proofErr w:type="gramStart"/>
      <w:r>
        <w:rPr>
          <w:rFonts w:ascii="Calibri" w:hAnsi="Calibri" w:cs="Calibri"/>
          <w:i/>
          <w:iCs/>
          <w:color w:val="00B050"/>
          <w:kern w:val="2"/>
          <w:sz w:val="16"/>
          <w:szCs w:val="16"/>
        </w:rPr>
        <w:t>an</w:t>
      </w:r>
      <w:proofErr w:type="gramEnd"/>
      <w:r>
        <w:rPr>
          <w:rFonts w:ascii="Calibri" w:hAnsi="Calibri" w:cs="Calibri"/>
          <w:i/>
          <w:iCs/>
          <w:color w:val="00B050"/>
          <w:kern w:val="2"/>
          <w:sz w:val="16"/>
          <w:szCs w:val="16"/>
        </w:rPr>
        <w:t xml:space="preserve">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w:t>
      </w:r>
    </w:p>
    <w:p w14:paraId="27D9AF5D" w14:textId="77777777" w:rsidR="00195C98" w:rsidRDefault="00195C98" w:rsidP="00195C98">
      <w:pPr>
        <w:rPr>
          <w:rFonts w:ascii="Calibri" w:hAnsi="Calibri" w:cs="Calibri"/>
          <w:i/>
          <w:color w:val="FF0000"/>
          <w:sz w:val="16"/>
          <w:szCs w:val="16"/>
        </w:rPr>
      </w:pPr>
      <w:r>
        <w:rPr>
          <w:rFonts w:ascii="Calibri" w:hAnsi="Calibri" w:cs="Calibri"/>
          <w:i/>
          <w:color w:val="FF0000"/>
          <w:sz w:val="16"/>
          <w:szCs w:val="16"/>
        </w:rPr>
        <w:t>Use cases requiring CGI re-configuration independent of CGI collision events needs to be further discussed and proven. If no other use cases than CGI collisions can be identified, the proposal above applies only to CGI collision avoidance</w:t>
      </w:r>
    </w:p>
    <w:p w14:paraId="65293835" w14:textId="77777777" w:rsidR="00195C98" w:rsidRDefault="00195C98" w:rsidP="00195C98">
      <w:pPr>
        <w:spacing w:after="100" w:afterAutospacing="1"/>
        <w:rPr>
          <w:rFonts w:ascii="Calibri" w:eastAsia="等线" w:hAnsi="Calibri" w:cs="Calibri"/>
          <w:i/>
          <w:color w:val="FF0000"/>
          <w:sz w:val="16"/>
          <w:szCs w:val="16"/>
        </w:rPr>
      </w:pPr>
      <w:r>
        <w:rPr>
          <w:rFonts w:ascii="Calibri" w:eastAsia="等线" w:hAnsi="Calibri" w:cs="Calibri"/>
          <w:i/>
          <w:color w:val="FF0000"/>
          <w:sz w:val="16"/>
          <w:szCs w:val="16"/>
        </w:rPr>
        <w:t>Discussions on enhancements to legacy HO procedures to be taken at RAN3#121.</w:t>
      </w:r>
    </w:p>
    <w:p w14:paraId="795E36A5" w14:textId="77777777" w:rsidR="00195C98" w:rsidRDefault="00195C98" w:rsidP="00195C98">
      <w:pPr>
        <w:spacing w:after="100" w:afterAutospacing="1"/>
        <w:rPr>
          <w:rFonts w:ascii="Calibri" w:eastAsia="等线" w:hAnsi="Calibri" w:cs="Calibri"/>
          <w:i/>
          <w:color w:val="FF0000"/>
          <w:sz w:val="16"/>
          <w:szCs w:val="16"/>
        </w:rPr>
      </w:pPr>
      <w:r>
        <w:rPr>
          <w:rFonts w:ascii="Calibri" w:eastAsia="等线" w:hAnsi="Calibri" w:cs="Calibri"/>
          <w:i/>
          <w:color w:val="FF0000"/>
          <w:sz w:val="16"/>
          <w:szCs w:val="16"/>
        </w:rPr>
        <w:t>If no consensus on such enhancements, the following will be agreed:</w:t>
      </w:r>
    </w:p>
    <w:p w14:paraId="2E635FA3" w14:textId="77777777" w:rsidR="00195C98" w:rsidRDefault="00195C98" w:rsidP="00195C98">
      <w:pPr>
        <w:spacing w:after="100" w:afterAutospacing="1"/>
        <w:rPr>
          <w:rFonts w:ascii="Calibri" w:eastAsia="等线" w:hAnsi="Calibri" w:cs="Calibri"/>
          <w:i/>
          <w:color w:val="FF0000"/>
          <w:sz w:val="16"/>
          <w:szCs w:val="16"/>
        </w:rPr>
      </w:pPr>
      <w:r>
        <w:rPr>
          <w:rFonts w:ascii="Calibri" w:eastAsia="等线" w:hAnsi="Calibri" w:cs="Calibri"/>
          <w:i/>
          <w:color w:val="FF0000"/>
          <w:sz w:val="16"/>
          <w:szCs w:val="16"/>
        </w:rPr>
        <w:t xml:space="preserve">For DU migration, the following baseline is enough for target CU being aware of the QoS profile for each UE traffic: </w:t>
      </w:r>
    </w:p>
    <w:p w14:paraId="0531004B" w14:textId="3558C842" w:rsidR="00195C98" w:rsidRDefault="00195C98" w:rsidP="00195C98">
      <w:r>
        <w:rPr>
          <w:rFonts w:ascii="Calibri" w:eastAsia="等线" w:hAnsi="Calibri" w:cs="Calibri"/>
          <w:i/>
          <w:color w:val="FF0000"/>
          <w:sz w:val="16"/>
          <w:szCs w:val="16"/>
        </w:rPr>
        <w:t xml:space="preserve">The target CU for </w:t>
      </w:r>
      <w:proofErr w:type="spellStart"/>
      <w:r>
        <w:rPr>
          <w:rFonts w:ascii="Calibri" w:eastAsia="等线" w:hAnsi="Calibri" w:cs="Calibri"/>
          <w:i/>
          <w:color w:val="FF0000"/>
          <w:sz w:val="16"/>
          <w:szCs w:val="16"/>
        </w:rPr>
        <w:t>mIAB</w:t>
      </w:r>
      <w:proofErr w:type="spellEnd"/>
      <w:r>
        <w:rPr>
          <w:rFonts w:ascii="Calibri" w:eastAsia="等线" w:hAnsi="Calibri" w:cs="Calibri"/>
          <w:i/>
          <w:color w:val="FF0000"/>
          <w:sz w:val="16"/>
          <w:szCs w:val="16"/>
        </w:rPr>
        <w:t>-DU migration learns the traffic profile of the UE traffic from Handover Preparation procedures for individual UEs. No further enhancements are needed.</w:t>
      </w:r>
    </w:p>
    <w:p w14:paraId="4F2A2AC5" w14:textId="3D6E7527" w:rsidR="001207F2" w:rsidRDefault="001207F2" w:rsidP="00CF0575">
      <w:r>
        <w:t>For NGCI reconfiguration, RAN3 already send the LS to SA5 to check the understandings, so it can be further discussed if reply from SA5 is received.</w:t>
      </w:r>
    </w:p>
    <w:p w14:paraId="49441779" w14:textId="390F6A47" w:rsidR="00DA4CB1" w:rsidRPr="00DA4CB1" w:rsidRDefault="001207F2" w:rsidP="00CF0575">
      <w:pPr>
        <w:rPr>
          <w:szCs w:val="18"/>
          <w:lang w:eastAsia="ja-JP"/>
        </w:rPr>
      </w:pPr>
      <w:r>
        <w:t>In addition, there’s a LS</w:t>
      </w:r>
      <w:r w:rsidR="00DA4CB1">
        <w:t xml:space="preserve"> </w:t>
      </w:r>
      <w:r>
        <w:t xml:space="preserve">[1] from RAN2 on </w:t>
      </w:r>
      <w:r>
        <w:rPr>
          <w:bCs/>
        </w:rPr>
        <w:t xml:space="preserve">UE </w:t>
      </w:r>
      <w:r w:rsidRPr="006C75D2">
        <w:rPr>
          <w:bCs/>
        </w:rPr>
        <w:t xml:space="preserve">RACH-less </w:t>
      </w:r>
      <w:r>
        <w:rPr>
          <w:bCs/>
        </w:rPr>
        <w:t>handover</w:t>
      </w:r>
      <w:r w:rsidRPr="006C75D2">
        <w:rPr>
          <w:bCs/>
        </w:rPr>
        <w:t xml:space="preserve"> for </w:t>
      </w:r>
      <w:r>
        <w:rPr>
          <w:szCs w:val="18"/>
          <w:lang w:eastAsia="ja-JP"/>
        </w:rPr>
        <w:t xml:space="preserve">mobile IAB, </w:t>
      </w:r>
      <w:r w:rsidR="00DA4CB1">
        <w:rPr>
          <w:szCs w:val="18"/>
          <w:lang w:eastAsia="ja-JP"/>
        </w:rPr>
        <w:t>the RACH-less is related to UE mobility enhancement during DU migration, it can be discussed in this agenda item.</w:t>
      </w:r>
    </w:p>
    <w:p w14:paraId="22B54925" w14:textId="1BC551BF" w:rsidR="005F6DE2" w:rsidRPr="00CF0575" w:rsidRDefault="00E6028F" w:rsidP="00CF0575">
      <w:r w:rsidRPr="00CF0575">
        <w:t>In this contribution, we’d like to discuss the</w:t>
      </w:r>
      <w:r w:rsidR="00DA4CB1">
        <w:t xml:space="preserve"> following topics.</w:t>
      </w:r>
      <w:r w:rsidR="00CF0575">
        <w:t xml:space="preserve"> </w:t>
      </w:r>
    </w:p>
    <w:p w14:paraId="5CC52CF3" w14:textId="3872959F" w:rsidR="002A19F2" w:rsidRDefault="002A19F2" w:rsidP="002A19F2">
      <w:pPr>
        <w:pStyle w:val="Doc-text2"/>
        <w:spacing w:line="360" w:lineRule="auto"/>
        <w:ind w:left="363"/>
        <w:rPr>
          <w:rFonts w:ascii="Times New Roman" w:hAnsi="Times New Roman"/>
          <w:b/>
          <w:u w:val="single"/>
        </w:rPr>
      </w:pPr>
      <w:r w:rsidRPr="00CF0575">
        <w:rPr>
          <w:rFonts w:ascii="Times New Roman" w:hAnsi="Times New Roman"/>
          <w:b/>
          <w:u w:val="single"/>
        </w:rPr>
        <w:t>Dynamic TAC</w:t>
      </w:r>
    </w:p>
    <w:p w14:paraId="1EE2C6BC" w14:textId="0241D396" w:rsidR="009864E7" w:rsidRPr="00CF0575" w:rsidRDefault="009864E7" w:rsidP="002A19F2">
      <w:pPr>
        <w:pStyle w:val="Doc-text2"/>
        <w:spacing w:line="360" w:lineRule="auto"/>
        <w:ind w:left="363"/>
        <w:rPr>
          <w:rFonts w:ascii="Times New Roman" w:hAnsi="Times New Roman"/>
          <w:b/>
          <w:u w:val="single"/>
        </w:rPr>
      </w:pPr>
      <w:r>
        <w:rPr>
          <w:rFonts w:ascii="Times New Roman" w:hAnsi="Times New Roman"/>
          <w:b/>
          <w:u w:val="single"/>
        </w:rPr>
        <w:t>Possible enhancements to legacy HO procedure</w:t>
      </w:r>
    </w:p>
    <w:p w14:paraId="26817A96" w14:textId="2809FAF0" w:rsidR="009864E7" w:rsidRDefault="009864E7" w:rsidP="009864E7">
      <w:pPr>
        <w:pStyle w:val="Doc-text2"/>
        <w:numPr>
          <w:ilvl w:val="0"/>
          <w:numId w:val="28"/>
        </w:numPr>
        <w:spacing w:line="360" w:lineRule="auto"/>
        <w:rPr>
          <w:rFonts w:ascii="Times New Roman" w:hAnsi="Times New Roman"/>
          <w:b/>
          <w:u w:val="single"/>
        </w:rPr>
      </w:pPr>
      <w:r>
        <w:rPr>
          <w:rFonts w:ascii="Times New Roman" w:hAnsi="Times New Roman"/>
          <w:b/>
          <w:u w:val="single"/>
        </w:rPr>
        <w:t xml:space="preserve">Group mobility </w:t>
      </w:r>
    </w:p>
    <w:p w14:paraId="21EC83DC" w14:textId="7DFA2453" w:rsidR="009864E7" w:rsidRDefault="009864E7" w:rsidP="009864E7">
      <w:pPr>
        <w:pStyle w:val="Doc-text2"/>
        <w:numPr>
          <w:ilvl w:val="0"/>
          <w:numId w:val="28"/>
        </w:numPr>
        <w:spacing w:line="360" w:lineRule="auto"/>
        <w:rPr>
          <w:rFonts w:ascii="Times New Roman" w:hAnsi="Times New Roman"/>
          <w:b/>
          <w:u w:val="single"/>
        </w:rPr>
      </w:pPr>
      <w:r>
        <w:rPr>
          <w:rFonts w:ascii="Times New Roman" w:hAnsi="Times New Roman"/>
          <w:b/>
          <w:u w:val="single"/>
        </w:rPr>
        <w:t>Context sharing</w:t>
      </w:r>
    </w:p>
    <w:p w14:paraId="797F4966" w14:textId="62CA76A7" w:rsidR="003055C7" w:rsidRPr="009864E7" w:rsidRDefault="00DA4CB1" w:rsidP="009864E7">
      <w:pPr>
        <w:pStyle w:val="Doc-text2"/>
        <w:numPr>
          <w:ilvl w:val="0"/>
          <w:numId w:val="28"/>
        </w:numPr>
        <w:spacing w:line="360" w:lineRule="auto"/>
        <w:rPr>
          <w:rFonts w:ascii="Times New Roman" w:hAnsi="Times New Roman"/>
          <w:b/>
          <w:u w:val="single"/>
        </w:rPr>
      </w:pPr>
      <w:r>
        <w:rPr>
          <w:rFonts w:ascii="Times New Roman" w:hAnsi="Times New Roman"/>
          <w:b/>
          <w:u w:val="single"/>
        </w:rPr>
        <w:t xml:space="preserve">RACH-less handover </w:t>
      </w:r>
      <w:r w:rsidR="009864E7">
        <w:rPr>
          <w:rFonts w:ascii="Times New Roman" w:hAnsi="Times New Roman"/>
          <w:b/>
          <w:u w:val="single"/>
        </w:rPr>
        <w:t>(related to RAN2 LS)</w:t>
      </w:r>
    </w:p>
    <w:p w14:paraId="479DA40B" w14:textId="2DCD1A2E" w:rsidR="00CD4C7B" w:rsidRDefault="00CD4C7B" w:rsidP="005F6DE2">
      <w:pPr>
        <w:pStyle w:val="1"/>
      </w:pPr>
      <w:r w:rsidRPr="006E13D1">
        <w:lastRenderedPageBreak/>
        <w:t>2</w:t>
      </w:r>
      <w:r w:rsidRPr="006E13D1">
        <w:tab/>
      </w:r>
      <w:r w:rsidR="00972FD7">
        <w:t>Discussion</w:t>
      </w:r>
    </w:p>
    <w:p w14:paraId="6DCEE816" w14:textId="77777777" w:rsidR="00DA4CB1" w:rsidRDefault="00DA4CB1" w:rsidP="00DA4CB1">
      <w:pPr>
        <w:pStyle w:val="2"/>
      </w:pPr>
      <w:bookmarkStart w:id="1" w:name="_Hlk109747344"/>
      <w:r w:rsidRPr="00971F47">
        <w:t>2.</w:t>
      </w:r>
      <w:r>
        <w:t>1</w:t>
      </w:r>
      <w:r w:rsidRPr="00971F47">
        <w:t xml:space="preserve"> </w:t>
      </w:r>
      <w:r>
        <w:t>Dynamic TAC</w:t>
      </w:r>
    </w:p>
    <w:p w14:paraId="35AA96BE" w14:textId="77777777" w:rsidR="00DA4CB1" w:rsidRPr="008B7DC7" w:rsidRDefault="00DA4CB1" w:rsidP="00DA4CB1">
      <w:pPr>
        <w:pStyle w:val="Doc-text2"/>
        <w:ind w:left="0" w:firstLine="0"/>
        <w:rPr>
          <w:rFonts w:ascii="Times New Roman" w:eastAsia="宋体" w:hAnsi="Times New Roman" w:cs="Times New Roman"/>
          <w:szCs w:val="20"/>
          <w:lang w:eastAsia="en-US"/>
        </w:rPr>
      </w:pPr>
      <w:r w:rsidRPr="0033697B">
        <w:rPr>
          <w:rFonts w:ascii="Times New Roman" w:eastAsia="宋体" w:hAnsi="Times New Roman" w:cs="Times New Roman"/>
          <w:szCs w:val="20"/>
          <w:lang w:eastAsia="en-US"/>
        </w:rPr>
        <w:t>In previous RAN3 meetings, it was agreed that</w:t>
      </w:r>
      <w:r>
        <w:rPr>
          <w:rFonts w:ascii="Times New Roman" w:eastAsia="宋体" w:hAnsi="Times New Roman" w:cs="Times New Roman"/>
          <w:szCs w:val="20"/>
          <w:lang w:eastAsia="en-US"/>
        </w:rPr>
        <w:t xml:space="preserve"> “</w:t>
      </w:r>
      <w:r w:rsidRPr="00175E5B">
        <w:rPr>
          <w:rStyle w:val="15"/>
          <w:rFonts w:ascii="Calibri" w:hAnsi="Calibri" w:cs="Calibri"/>
          <w:b/>
          <w:color w:val="008000"/>
          <w:sz w:val="18"/>
          <w:u w:val="none"/>
        </w:rPr>
        <w:t xml:space="preserve">The IAB-DU’s TAC can have the same or a different value than the TAC of the </w:t>
      </w:r>
      <w:proofErr w:type="spellStart"/>
      <w:r w:rsidRPr="00175E5B">
        <w:rPr>
          <w:rStyle w:val="15"/>
          <w:rFonts w:ascii="Calibri" w:hAnsi="Calibri" w:cs="Calibri"/>
          <w:b/>
          <w:color w:val="008000"/>
          <w:sz w:val="18"/>
          <w:u w:val="none"/>
        </w:rPr>
        <w:t>mIAB</w:t>
      </w:r>
      <w:proofErr w:type="spellEnd"/>
      <w:r w:rsidRPr="00175E5B">
        <w:rPr>
          <w:rStyle w:val="15"/>
          <w:rFonts w:ascii="Calibri" w:hAnsi="Calibri" w:cs="Calibri"/>
          <w:b/>
          <w:color w:val="008000"/>
          <w:sz w:val="18"/>
          <w:u w:val="none"/>
        </w:rPr>
        <w:t>-MT’s serving cell</w:t>
      </w:r>
      <w:r w:rsidRPr="0033697B">
        <w:rPr>
          <w:rFonts w:ascii="Times New Roman" w:eastAsia="宋体" w:hAnsi="Times New Roman" w:cs="Times New Roman"/>
          <w:szCs w:val="20"/>
          <w:lang w:eastAsia="en-US"/>
        </w:rPr>
        <w:t>.</w:t>
      </w:r>
      <w:r>
        <w:rPr>
          <w:rFonts w:ascii="Times New Roman" w:eastAsia="宋体" w:hAnsi="Times New Roman" w:cs="Times New Roman"/>
          <w:szCs w:val="20"/>
          <w:lang w:eastAsia="en-US"/>
        </w:rPr>
        <w:t>”</w:t>
      </w:r>
    </w:p>
    <w:p w14:paraId="6C65CF83" w14:textId="77777777" w:rsidR="00DA4CB1" w:rsidRDefault="00DA4CB1" w:rsidP="00DA4CB1">
      <w:pPr>
        <w:pStyle w:val="Doc-text2"/>
        <w:ind w:left="0" w:firstLine="0"/>
        <w:rPr>
          <w:rFonts w:ascii="Times New Roman" w:eastAsia="宋体" w:hAnsi="Times New Roman" w:cs="Times New Roman"/>
          <w:szCs w:val="20"/>
          <w:lang w:eastAsia="en-US"/>
        </w:rPr>
      </w:pPr>
    </w:p>
    <w:p w14:paraId="18D6C24A" w14:textId="77777777" w:rsidR="00DA4CB1" w:rsidRDefault="00DA4CB1" w:rsidP="00DA4CB1">
      <w:pPr>
        <w:pStyle w:val="Doc-text2"/>
        <w:ind w:left="0" w:firstLine="0"/>
        <w:rPr>
          <w:rFonts w:ascii="Times New Roman" w:eastAsia="宋体" w:hAnsi="Times New Roman" w:cs="Times New Roman"/>
          <w:szCs w:val="20"/>
          <w:lang w:eastAsia="en-US"/>
        </w:rPr>
      </w:pPr>
      <w:r>
        <w:rPr>
          <w:rFonts w:ascii="Times New Roman" w:eastAsia="宋体" w:hAnsi="Times New Roman" w:cs="Times New Roman"/>
          <w:szCs w:val="20"/>
          <w:lang w:eastAsia="en-US"/>
        </w:rPr>
        <w:t xml:space="preserve">In case the IAB-DU’s TAC is the same as the TAC of the </w:t>
      </w:r>
      <w:proofErr w:type="spellStart"/>
      <w:r>
        <w:rPr>
          <w:rFonts w:ascii="Times New Roman" w:eastAsia="宋体" w:hAnsi="Times New Roman" w:cs="Times New Roman"/>
          <w:szCs w:val="20"/>
          <w:lang w:eastAsia="en-US"/>
        </w:rPr>
        <w:t>mIAB</w:t>
      </w:r>
      <w:proofErr w:type="spellEnd"/>
      <w:r>
        <w:rPr>
          <w:rFonts w:ascii="Times New Roman" w:eastAsia="宋体" w:hAnsi="Times New Roman" w:cs="Times New Roman"/>
          <w:szCs w:val="20"/>
          <w:lang w:eastAsia="en-US"/>
        </w:rPr>
        <w:t>-MT’s serving cell</w:t>
      </w:r>
      <w:r w:rsidRPr="0033697B">
        <w:rPr>
          <w:rFonts w:ascii="Times New Roman" w:eastAsia="宋体" w:hAnsi="Times New Roman" w:cs="Times New Roman"/>
          <w:szCs w:val="20"/>
          <w:lang w:eastAsia="en-US"/>
        </w:rPr>
        <w:t>, the IAB-MT can read the broadcasted TAC from the IAB-MT’s donor-CU, and the co-located IAB-DU can change the broadcast TAC accordingly if needed, the IAB-DU can notify the IAB-DU’s donor-CU the updated TAC, which is already supported by existing signalling, we don’t see any impacts on stage3 specifications.</w:t>
      </w:r>
    </w:p>
    <w:p w14:paraId="01E8415E" w14:textId="77777777" w:rsidR="00DA4CB1" w:rsidRDefault="00DA4CB1" w:rsidP="00DA4CB1">
      <w:pPr>
        <w:pStyle w:val="Doc-text2"/>
        <w:ind w:left="0" w:firstLine="0"/>
        <w:rPr>
          <w:rFonts w:ascii="Times New Roman" w:eastAsia="宋体" w:hAnsi="Times New Roman" w:cs="Times New Roman"/>
          <w:szCs w:val="20"/>
          <w:lang w:eastAsia="en-US"/>
        </w:rPr>
      </w:pPr>
    </w:p>
    <w:p w14:paraId="46205444" w14:textId="77777777" w:rsidR="00DA4CB1" w:rsidRDefault="00DA4CB1" w:rsidP="00DA4CB1">
      <w:pPr>
        <w:pStyle w:val="Doc-text2"/>
        <w:ind w:left="0" w:firstLine="0"/>
        <w:rPr>
          <w:rFonts w:ascii="Times New Roman" w:eastAsia="宋体" w:hAnsi="Times New Roman" w:cs="Times New Roman"/>
          <w:szCs w:val="20"/>
          <w:lang w:eastAsia="en-US"/>
        </w:rPr>
      </w:pPr>
      <w:r>
        <w:rPr>
          <w:rFonts w:ascii="Times New Roman" w:eastAsia="宋体" w:hAnsi="Times New Roman" w:cs="Times New Roman"/>
          <w:szCs w:val="20"/>
          <w:lang w:eastAsia="en-US"/>
        </w:rPr>
        <w:t xml:space="preserve">In case the IAB-DU’s TAC is the different from the TAC of the </w:t>
      </w:r>
      <w:proofErr w:type="spellStart"/>
      <w:r>
        <w:rPr>
          <w:rFonts w:ascii="Times New Roman" w:eastAsia="宋体" w:hAnsi="Times New Roman" w:cs="Times New Roman"/>
          <w:szCs w:val="20"/>
          <w:lang w:eastAsia="en-US"/>
        </w:rPr>
        <w:t>mIAB</w:t>
      </w:r>
      <w:proofErr w:type="spellEnd"/>
      <w:r>
        <w:rPr>
          <w:rFonts w:ascii="Times New Roman" w:eastAsia="宋体" w:hAnsi="Times New Roman" w:cs="Times New Roman"/>
          <w:szCs w:val="20"/>
          <w:lang w:eastAsia="en-US"/>
        </w:rPr>
        <w:t>-MT’s serving cell</w:t>
      </w:r>
      <w:r w:rsidRPr="0033697B">
        <w:rPr>
          <w:rFonts w:ascii="Times New Roman" w:eastAsia="宋体" w:hAnsi="Times New Roman" w:cs="Times New Roman"/>
          <w:szCs w:val="20"/>
          <w:lang w:eastAsia="en-US"/>
        </w:rPr>
        <w:t>,</w:t>
      </w:r>
      <w:r>
        <w:rPr>
          <w:rFonts w:ascii="Times New Roman" w:eastAsia="宋体" w:hAnsi="Times New Roman" w:cs="Times New Roman"/>
          <w:szCs w:val="20"/>
          <w:lang w:eastAsia="en-US"/>
        </w:rPr>
        <w:t xml:space="preserve"> our understanding is that the TAC can be assigned or preconfigured in IAB-DU via OAM, which is also supported by existing signalling and will have no stage3 impacts.</w:t>
      </w:r>
    </w:p>
    <w:p w14:paraId="614D997B" w14:textId="77777777" w:rsidR="00DA4CB1" w:rsidRDefault="00DA4CB1" w:rsidP="00DA4CB1">
      <w:pPr>
        <w:pStyle w:val="Doc-text2"/>
        <w:ind w:left="0" w:firstLine="0"/>
        <w:rPr>
          <w:rFonts w:ascii="Times New Roman" w:eastAsia="宋体" w:hAnsi="Times New Roman" w:cs="Times New Roman"/>
          <w:szCs w:val="20"/>
          <w:lang w:eastAsia="en-US"/>
        </w:rPr>
      </w:pPr>
    </w:p>
    <w:p w14:paraId="79060049" w14:textId="77777777" w:rsidR="00DA4CB1" w:rsidRPr="0033697B" w:rsidRDefault="00DA4CB1" w:rsidP="00DA4CB1">
      <w:pPr>
        <w:pStyle w:val="Doc-text2"/>
        <w:ind w:left="0" w:firstLine="0"/>
        <w:rPr>
          <w:rFonts w:ascii="Times New Roman" w:eastAsia="宋体" w:hAnsi="Times New Roman" w:cs="Times New Roman"/>
          <w:szCs w:val="20"/>
          <w:lang w:eastAsia="en-US"/>
        </w:rPr>
      </w:pPr>
      <w:r>
        <w:rPr>
          <w:rFonts w:ascii="Times New Roman" w:eastAsia="宋体" w:hAnsi="Times New Roman" w:cs="Times New Roman"/>
          <w:szCs w:val="20"/>
          <w:lang w:eastAsia="en-US"/>
        </w:rPr>
        <w:t xml:space="preserve">Regarding the RANAC reconfiguration, same mechanism as TAC reconfiguration can be used, which means there’s no stage3 impacts.  </w:t>
      </w:r>
    </w:p>
    <w:p w14:paraId="7645F357" w14:textId="77777777" w:rsidR="00DA4CB1" w:rsidRPr="0033697B" w:rsidRDefault="00DA4CB1" w:rsidP="00DA4CB1">
      <w:pPr>
        <w:pStyle w:val="Doc-text2"/>
        <w:ind w:left="0" w:firstLine="0"/>
        <w:rPr>
          <w:rFonts w:ascii="Times New Roman" w:eastAsia="宋体" w:hAnsi="Times New Roman" w:cs="Times New Roman"/>
          <w:szCs w:val="20"/>
          <w:lang w:eastAsia="en-US"/>
        </w:rPr>
      </w:pPr>
    </w:p>
    <w:p w14:paraId="74955680" w14:textId="77777777" w:rsidR="00DA4CB1" w:rsidRPr="0033697B" w:rsidRDefault="00DA4CB1" w:rsidP="00DA4CB1">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w:t>
      </w:r>
      <w:r>
        <w:rPr>
          <w:rFonts w:ascii="Times New Roman" w:eastAsia="宋体" w:hAnsi="Times New Roman" w:cs="Times New Roman"/>
          <w:b/>
          <w:szCs w:val="20"/>
          <w:lang w:eastAsia="en-US"/>
        </w:rPr>
        <w:t xml:space="preserve"> 1</w:t>
      </w:r>
      <w:r w:rsidRPr="0033697B">
        <w:rPr>
          <w:rFonts w:ascii="Times New Roman" w:eastAsia="宋体" w:hAnsi="Times New Roman" w:cs="Times New Roman"/>
          <w:b/>
          <w:szCs w:val="20"/>
          <w:lang w:eastAsia="en-US"/>
        </w:rPr>
        <w:t>, existing signalling already support dynamic TAC</w:t>
      </w:r>
      <w:r>
        <w:rPr>
          <w:rFonts w:ascii="Times New Roman" w:eastAsia="宋体" w:hAnsi="Times New Roman" w:cs="Times New Roman"/>
          <w:b/>
          <w:szCs w:val="20"/>
          <w:lang w:eastAsia="en-US"/>
        </w:rPr>
        <w:t xml:space="preserve"> in case the IAB-DU’s TAC </w:t>
      </w:r>
      <w:r w:rsidRPr="0036211E">
        <w:rPr>
          <w:rFonts w:ascii="Times New Roman" w:eastAsia="宋体" w:hAnsi="Times New Roman" w:cs="Times New Roman"/>
          <w:b/>
          <w:szCs w:val="20"/>
          <w:lang w:eastAsia="en-US"/>
        </w:rPr>
        <w:t xml:space="preserve">the same or a different value than the TAC of the </w:t>
      </w:r>
      <w:proofErr w:type="spellStart"/>
      <w:r w:rsidRPr="0036211E">
        <w:rPr>
          <w:rFonts w:ascii="Times New Roman" w:eastAsia="宋体" w:hAnsi="Times New Roman" w:cs="Times New Roman"/>
          <w:b/>
          <w:szCs w:val="20"/>
          <w:lang w:eastAsia="en-US"/>
        </w:rPr>
        <w:t>mIAB</w:t>
      </w:r>
      <w:proofErr w:type="spellEnd"/>
      <w:r w:rsidRPr="0036211E">
        <w:rPr>
          <w:rFonts w:ascii="Times New Roman" w:eastAsia="宋体" w:hAnsi="Times New Roman" w:cs="Times New Roman"/>
          <w:b/>
          <w:szCs w:val="20"/>
          <w:lang w:eastAsia="en-US"/>
        </w:rPr>
        <w:t>-MT’s serving cell</w:t>
      </w:r>
      <w:r w:rsidRPr="0033697B">
        <w:rPr>
          <w:rFonts w:ascii="Times New Roman" w:eastAsia="宋体" w:hAnsi="Times New Roman" w:cs="Times New Roman"/>
          <w:b/>
          <w:szCs w:val="20"/>
          <w:lang w:eastAsia="en-US"/>
        </w:rPr>
        <w:t xml:space="preserve">. </w:t>
      </w:r>
    </w:p>
    <w:p w14:paraId="20245D1F" w14:textId="72B22847" w:rsidR="00DA4CB1" w:rsidRDefault="00DA4CB1" w:rsidP="00DA4CB1">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 xml:space="preserve">Proposal </w:t>
      </w:r>
      <w:r>
        <w:rPr>
          <w:rFonts w:ascii="Times New Roman" w:eastAsia="宋体" w:hAnsi="Times New Roman" w:cs="Times New Roman"/>
          <w:b/>
          <w:szCs w:val="20"/>
          <w:lang w:eastAsia="en-US"/>
        </w:rPr>
        <w:t>1</w:t>
      </w:r>
      <w:r w:rsidRPr="0033697B">
        <w:rPr>
          <w:rFonts w:ascii="Times New Roman" w:eastAsia="宋体" w:hAnsi="Times New Roman" w:cs="Times New Roman"/>
          <w:b/>
          <w:szCs w:val="20"/>
          <w:lang w:eastAsia="en-US"/>
        </w:rPr>
        <w:t>, RAN3 conclude</w:t>
      </w:r>
      <w:r>
        <w:rPr>
          <w:rFonts w:ascii="Times New Roman" w:eastAsia="宋体" w:hAnsi="Times New Roman" w:cs="Times New Roman"/>
          <w:b/>
          <w:szCs w:val="20"/>
          <w:lang w:eastAsia="en-US"/>
        </w:rPr>
        <w:t>s</w:t>
      </w:r>
      <w:r w:rsidRPr="0033697B">
        <w:rPr>
          <w:rFonts w:ascii="Times New Roman" w:eastAsia="宋体" w:hAnsi="Times New Roman" w:cs="Times New Roman"/>
          <w:b/>
          <w:szCs w:val="20"/>
          <w:lang w:eastAsia="en-US"/>
        </w:rPr>
        <w:t xml:space="preserve"> that there is no stage 3 specification work to support dynamic TAC from RAN3 perspective.</w:t>
      </w:r>
    </w:p>
    <w:p w14:paraId="2B77960D" w14:textId="188C62FA" w:rsidR="009864E7" w:rsidRPr="004D3B71" w:rsidRDefault="009864E7" w:rsidP="009864E7">
      <w:pPr>
        <w:pStyle w:val="2"/>
        <w:ind w:left="0" w:firstLine="0"/>
      </w:pPr>
      <w:r w:rsidRPr="00971F47">
        <w:t>2.</w:t>
      </w:r>
      <w:r>
        <w:t>2</w:t>
      </w:r>
      <w:r w:rsidRPr="00971F47">
        <w:t xml:space="preserve"> </w:t>
      </w:r>
      <w:r w:rsidR="00981325">
        <w:t>Possible</w:t>
      </w:r>
      <w:r>
        <w:t xml:space="preserve"> enhancement</w:t>
      </w:r>
      <w:r w:rsidR="00981325">
        <w:t>s to</w:t>
      </w:r>
      <w:r w:rsidR="00981325" w:rsidRPr="00981325">
        <w:t xml:space="preserve"> legacy HO</w:t>
      </w:r>
    </w:p>
    <w:p w14:paraId="695CD513" w14:textId="3E06FDC7" w:rsidR="00981325" w:rsidRDefault="00981325" w:rsidP="009864E7">
      <w:pPr>
        <w:widowControl w:val="0"/>
        <w:rPr>
          <w:rFonts w:eastAsia="MS Mincho"/>
          <w:lang w:eastAsia="en-GB"/>
        </w:rPr>
      </w:pPr>
      <w:r>
        <w:rPr>
          <w:rFonts w:eastAsia="MS Mincho"/>
          <w:lang w:eastAsia="en-GB"/>
        </w:rPr>
        <w:t xml:space="preserve">According to the previous discussion, since the source DU and target DU are located in the same physical node, </w:t>
      </w:r>
      <w:r w:rsidR="001339EE">
        <w:rPr>
          <w:rFonts w:eastAsia="MS Mincho"/>
          <w:lang w:eastAsia="en-GB"/>
        </w:rPr>
        <w:t>the UE handover during DU migration is different from legacy HO, it is true that legacy HO can be used, the other possible enhancements are optimization for signalling saving purpose, the group handover and context sharing to had been discussed in RAN3 but there’s no consensus whether to support them.</w:t>
      </w:r>
    </w:p>
    <w:p w14:paraId="2D42852C" w14:textId="09C4D9C6" w:rsidR="001339EE" w:rsidRPr="001339EE" w:rsidRDefault="001339EE" w:rsidP="009864E7">
      <w:pPr>
        <w:widowControl w:val="0"/>
        <w:rPr>
          <w:rFonts w:eastAsia="MS Mincho"/>
          <w:b/>
          <w:u w:val="single"/>
          <w:lang w:eastAsia="en-GB"/>
        </w:rPr>
      </w:pPr>
      <w:r w:rsidRPr="001339EE">
        <w:rPr>
          <w:rFonts w:eastAsia="MS Mincho"/>
          <w:b/>
          <w:u w:val="single"/>
          <w:lang w:eastAsia="en-GB"/>
        </w:rPr>
        <w:t>Group handover</w:t>
      </w:r>
    </w:p>
    <w:p w14:paraId="7845ADA8" w14:textId="1086BE9B" w:rsidR="001339EE" w:rsidRDefault="001339EE" w:rsidP="009864E7">
      <w:pPr>
        <w:widowControl w:val="0"/>
        <w:rPr>
          <w:rFonts w:eastAsia="MS Mincho"/>
          <w:lang w:eastAsia="en-GB"/>
        </w:rPr>
      </w:pPr>
      <w:r>
        <w:rPr>
          <w:rFonts w:eastAsia="MS Mincho"/>
          <w:lang w:eastAsia="en-GB"/>
        </w:rPr>
        <w:t>For group handover, it had been discussed for many other topics, e.g. NTN, but it’s not been supported until now, the benefit for signalling saving may not that obvious, so it is suggested not to support group handover in mobile IAB.</w:t>
      </w:r>
    </w:p>
    <w:p w14:paraId="3BD58AFD" w14:textId="44A20AC9" w:rsidR="001339EE" w:rsidRPr="001339EE" w:rsidRDefault="001339EE" w:rsidP="009864E7">
      <w:pPr>
        <w:widowControl w:val="0"/>
        <w:rPr>
          <w:rFonts w:eastAsia="MS Mincho"/>
          <w:b/>
          <w:lang w:eastAsia="en-GB"/>
        </w:rPr>
      </w:pPr>
      <w:r w:rsidRPr="001339EE">
        <w:rPr>
          <w:rFonts w:eastAsia="MS Mincho"/>
          <w:b/>
          <w:lang w:eastAsia="en-GB"/>
        </w:rPr>
        <w:t>Proposal</w:t>
      </w:r>
      <w:r w:rsidR="00F1480C">
        <w:rPr>
          <w:rFonts w:eastAsia="MS Mincho"/>
          <w:b/>
          <w:lang w:eastAsia="en-GB"/>
        </w:rPr>
        <w:t xml:space="preserve"> 2</w:t>
      </w:r>
      <w:r w:rsidRPr="001339EE">
        <w:rPr>
          <w:rFonts w:eastAsia="MS Mincho"/>
          <w:b/>
          <w:lang w:eastAsia="en-GB"/>
        </w:rPr>
        <w:t xml:space="preserve">, group </w:t>
      </w:r>
      <w:r w:rsidR="00F1480C">
        <w:rPr>
          <w:rFonts w:eastAsia="MS Mincho"/>
          <w:b/>
          <w:lang w:eastAsia="en-GB"/>
        </w:rPr>
        <w:t>handover</w:t>
      </w:r>
      <w:r w:rsidRPr="001339EE">
        <w:rPr>
          <w:rFonts w:eastAsia="MS Mincho"/>
          <w:b/>
          <w:lang w:eastAsia="en-GB"/>
        </w:rPr>
        <w:t xml:space="preserve"> is not supported in mobile IAB.</w:t>
      </w:r>
    </w:p>
    <w:p w14:paraId="23DB8AD1" w14:textId="5C2C6722" w:rsidR="001339EE" w:rsidRPr="001339EE" w:rsidRDefault="001339EE" w:rsidP="001339EE">
      <w:pPr>
        <w:widowControl w:val="0"/>
        <w:rPr>
          <w:rFonts w:eastAsia="MS Mincho"/>
          <w:b/>
          <w:u w:val="single"/>
          <w:lang w:eastAsia="en-GB"/>
        </w:rPr>
      </w:pPr>
      <w:r>
        <w:rPr>
          <w:rFonts w:eastAsia="MS Mincho"/>
          <w:b/>
          <w:u w:val="single"/>
          <w:lang w:eastAsia="en-GB"/>
        </w:rPr>
        <w:t>Context sharing</w:t>
      </w:r>
    </w:p>
    <w:p w14:paraId="578270E7" w14:textId="77777777" w:rsidR="00AB1A46" w:rsidRDefault="001339EE" w:rsidP="0062736F">
      <w:pPr>
        <w:widowControl w:val="0"/>
        <w:tabs>
          <w:tab w:val="right" w:pos="9641"/>
        </w:tabs>
        <w:rPr>
          <w:rFonts w:eastAsia="MS Mincho"/>
          <w:lang w:eastAsia="en-GB"/>
        </w:rPr>
      </w:pPr>
      <w:r>
        <w:rPr>
          <w:rFonts w:eastAsia="MS Mincho"/>
          <w:lang w:eastAsia="en-GB"/>
        </w:rPr>
        <w:t>Since the source DU and target DU are physically co-located, the lower layer configuration can be shared</w:t>
      </w:r>
      <w:r w:rsidR="0062736F">
        <w:rPr>
          <w:rFonts w:asciiTheme="minorEastAsia" w:eastAsiaTheme="minorEastAsia" w:hAnsiTheme="minorEastAsia"/>
          <w:lang w:eastAsia="zh-CN"/>
        </w:rPr>
        <w:t xml:space="preserve">. </w:t>
      </w:r>
      <w:r w:rsidR="009864E7" w:rsidRPr="0033697B">
        <w:rPr>
          <w:rFonts w:eastAsia="MS Mincho"/>
          <w:lang w:eastAsia="en-GB"/>
        </w:rPr>
        <w:t xml:space="preserve">The below Figure 1 shows procedures of UE handover by using legacy signalling. After IAB-DU2’s setup and F1 setup, the UEs served by IAB-DU1 need to be handed over to IAB-DU2, from logical function point of view, all the signalling in figure 1 are needed, but if from deployment point of view, some signalling can be saved, since IAB-DU1 and IAB-DU2 are co-located in the same IAB-node, </w:t>
      </w:r>
      <w:r w:rsidR="00AB1A46">
        <w:rPr>
          <w:rFonts w:eastAsia="MS Mincho"/>
          <w:lang w:eastAsia="en-GB"/>
        </w:rPr>
        <w:t xml:space="preserve">the reduce signalling flow is shown in Figure 2. </w:t>
      </w:r>
    </w:p>
    <w:p w14:paraId="1B24E4C4" w14:textId="2D33FAFE" w:rsidR="0062736F" w:rsidRDefault="00AB1A46" w:rsidP="0062736F">
      <w:pPr>
        <w:widowControl w:val="0"/>
        <w:tabs>
          <w:tab w:val="right" w:pos="9641"/>
        </w:tabs>
        <w:rPr>
          <w:rFonts w:eastAsia="MS Mincho"/>
          <w:lang w:eastAsia="en-GB"/>
        </w:rPr>
      </w:pPr>
      <w:r>
        <w:rPr>
          <w:rFonts w:eastAsia="MS Mincho"/>
          <w:lang w:eastAsia="en-GB"/>
        </w:rPr>
        <w:t>W</w:t>
      </w:r>
      <w:r w:rsidR="0062736F">
        <w:rPr>
          <w:rFonts w:eastAsia="MS Mincho"/>
          <w:lang w:eastAsia="en-GB"/>
        </w:rPr>
        <w:t>e think at least the UE context setup procedure from target CU to DU2 and UE context release procedure from source CU to DU1 can be saved:</w:t>
      </w:r>
    </w:p>
    <w:p w14:paraId="6F356F81" w14:textId="39A7F3C3" w:rsidR="0062736F" w:rsidRPr="00AB1A46" w:rsidRDefault="0062736F" w:rsidP="00AB1A46">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sidRPr="00AB1A46">
        <w:rPr>
          <w:rFonts w:ascii="Times New Roman" w:eastAsia="MS Mincho" w:hAnsi="Times New Roman"/>
          <w:sz w:val="20"/>
          <w:lang w:eastAsia="en-GB"/>
        </w:rPr>
        <w:t>DU1 can notify DU2 UE context needs to be setup internally by using the UE context in DU1</w:t>
      </w:r>
      <w:r w:rsidR="00AB1A46" w:rsidRPr="00AB1A46">
        <w:rPr>
          <w:rFonts w:ascii="Times New Roman" w:eastAsia="MS Mincho" w:hAnsi="Times New Roman"/>
          <w:sz w:val="20"/>
          <w:lang w:eastAsia="en-GB"/>
        </w:rPr>
        <w:t>, as shown in step 4 in figure 2</w:t>
      </w:r>
      <w:r w:rsidR="00AB1A46">
        <w:rPr>
          <w:rFonts w:ascii="Times New Roman" w:eastAsia="MS Mincho" w:hAnsi="Times New Roman"/>
          <w:sz w:val="20"/>
          <w:lang w:eastAsia="en-GB"/>
        </w:rPr>
        <w:t>, this indication can replace the step 2-3 in figure 1.</w:t>
      </w:r>
    </w:p>
    <w:p w14:paraId="31DC25B6" w14:textId="66C185E6" w:rsidR="001C1387" w:rsidRPr="001C1387" w:rsidRDefault="00AB1A46" w:rsidP="001C1387">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Pr>
          <w:rFonts w:ascii="Times New Roman" w:eastAsia="MS Mincho" w:hAnsi="Times New Roman"/>
          <w:sz w:val="20"/>
          <w:lang w:eastAsia="en-GB"/>
        </w:rPr>
        <w:t xml:space="preserve">DU2 can notify </w:t>
      </w:r>
      <w:r w:rsidR="009864E7" w:rsidRPr="00AB1A46">
        <w:rPr>
          <w:rFonts w:ascii="Times New Roman" w:eastAsia="MS Mincho" w:hAnsi="Times New Roman"/>
          <w:sz w:val="20"/>
          <w:lang w:eastAsia="en-GB"/>
        </w:rPr>
        <w:t>DU1</w:t>
      </w:r>
      <w:r>
        <w:rPr>
          <w:rFonts w:ascii="Times New Roman" w:eastAsia="MS Mincho" w:hAnsi="Times New Roman"/>
          <w:sz w:val="20"/>
          <w:lang w:eastAsia="en-GB"/>
        </w:rPr>
        <w:t xml:space="preserve"> the UE’s access, so that the DU1 can release the UE context as shown in step 6 to 7 in figure 2, it can replace the step 11 and 12 in figure 1</w:t>
      </w:r>
      <w:r w:rsidR="001C1387">
        <w:rPr>
          <w:rFonts w:ascii="Times New Roman" w:eastAsia="MS Mincho" w:hAnsi="Times New Roman"/>
          <w:sz w:val="20"/>
          <w:lang w:eastAsia="en-GB"/>
        </w:rPr>
        <w:t>.</w:t>
      </w:r>
    </w:p>
    <w:p w14:paraId="761FAB79" w14:textId="64BE1EDB" w:rsidR="009864E7" w:rsidRPr="0033697B" w:rsidRDefault="00CE29A5" w:rsidP="009864E7">
      <w:pPr>
        <w:pStyle w:val="Agreement"/>
        <w:numPr>
          <w:ilvl w:val="0"/>
          <w:numId w:val="0"/>
        </w:numPr>
        <w:tabs>
          <w:tab w:val="left" w:pos="0"/>
        </w:tabs>
        <w:ind w:right="-1132" w:hanging="426"/>
        <w:rPr>
          <w:rFonts w:ascii="Times New Roman" w:hAnsi="Times New Roman"/>
          <w:b w:val="0"/>
          <w:szCs w:val="20"/>
          <w:u w:val="single"/>
        </w:rPr>
      </w:pPr>
      <w:r>
        <w:object w:dxaOrig="10640" w:dyaOrig="8580" w14:anchorId="3F638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212.35pt" o:ole="">
            <v:imagedata r:id="rId8" o:title=""/>
          </v:shape>
          <o:OLEObject Type="Embed" ProgID="Visio.Drawing.15" ShapeID="_x0000_i1025" DrawAspect="Content" ObjectID="_1753266595" r:id="rId9"/>
        </w:object>
      </w:r>
      <w:r w:rsidRPr="0033697B">
        <w:rPr>
          <w:szCs w:val="20"/>
        </w:rPr>
        <w:t xml:space="preserve"> </w:t>
      </w:r>
      <w:r>
        <w:object w:dxaOrig="10651" w:dyaOrig="8580" w14:anchorId="3C535AC0">
          <v:shape id="_x0000_i1026" type="#_x0000_t75" style="width:262pt;height:211.05pt" o:ole="">
            <v:imagedata r:id="rId10" o:title=""/>
          </v:shape>
          <o:OLEObject Type="Embed" ProgID="Visio.Drawing.15" ShapeID="_x0000_i1026" DrawAspect="Content" ObjectID="_1753266596" r:id="rId11"/>
        </w:object>
      </w:r>
    </w:p>
    <w:p w14:paraId="38023CE4" w14:textId="0600CE5B" w:rsidR="009864E7" w:rsidRPr="0033697B" w:rsidRDefault="009864E7" w:rsidP="009864E7">
      <w:pPr>
        <w:pStyle w:val="ac"/>
        <w:rPr>
          <w:b/>
          <w:sz w:val="20"/>
          <w:szCs w:val="20"/>
          <w:u w:val="single"/>
        </w:rPr>
      </w:pPr>
      <w:r w:rsidRPr="0033697B">
        <w:rPr>
          <w:i w:val="0"/>
          <w:sz w:val="20"/>
          <w:szCs w:val="20"/>
        </w:rPr>
        <w:t xml:space="preserve">       </w:t>
      </w:r>
      <w:r w:rsidRPr="0033697B">
        <w:rPr>
          <w:sz w:val="20"/>
          <w:szCs w:val="20"/>
        </w:rPr>
        <w:t xml:space="preserve">Figure </w:t>
      </w:r>
      <w:r w:rsidRPr="0033697B">
        <w:rPr>
          <w:sz w:val="20"/>
          <w:szCs w:val="20"/>
        </w:rPr>
        <w:fldChar w:fldCharType="begin"/>
      </w:r>
      <w:r w:rsidRPr="0033697B">
        <w:rPr>
          <w:sz w:val="20"/>
          <w:szCs w:val="20"/>
        </w:rPr>
        <w:instrText xml:space="preserve"> SEQ Figure \* ARABIC </w:instrText>
      </w:r>
      <w:r w:rsidRPr="0033697B">
        <w:rPr>
          <w:sz w:val="20"/>
          <w:szCs w:val="20"/>
        </w:rPr>
        <w:fldChar w:fldCharType="separate"/>
      </w:r>
      <w:r w:rsidRPr="0033697B">
        <w:rPr>
          <w:noProof/>
          <w:sz w:val="20"/>
          <w:szCs w:val="20"/>
        </w:rPr>
        <w:t>1</w:t>
      </w:r>
      <w:r w:rsidRPr="0033697B">
        <w:rPr>
          <w:sz w:val="20"/>
          <w:szCs w:val="20"/>
        </w:rPr>
        <w:fldChar w:fldCharType="end"/>
      </w:r>
      <w:r w:rsidRPr="0033697B">
        <w:rPr>
          <w:sz w:val="20"/>
          <w:szCs w:val="20"/>
        </w:rPr>
        <w:t xml:space="preserve"> UE handover in legacy signalling                                          Figure </w:t>
      </w:r>
      <w:r w:rsidRPr="0033697B">
        <w:rPr>
          <w:sz w:val="20"/>
          <w:szCs w:val="20"/>
        </w:rPr>
        <w:fldChar w:fldCharType="begin"/>
      </w:r>
      <w:r w:rsidRPr="0033697B">
        <w:rPr>
          <w:sz w:val="20"/>
          <w:szCs w:val="20"/>
        </w:rPr>
        <w:instrText xml:space="preserve"> SEQ Figure \* ARABIC </w:instrText>
      </w:r>
      <w:r w:rsidRPr="0033697B">
        <w:rPr>
          <w:sz w:val="20"/>
          <w:szCs w:val="20"/>
        </w:rPr>
        <w:fldChar w:fldCharType="separate"/>
      </w:r>
      <w:r w:rsidRPr="0033697B">
        <w:rPr>
          <w:noProof/>
          <w:sz w:val="20"/>
          <w:szCs w:val="20"/>
        </w:rPr>
        <w:t>2</w:t>
      </w:r>
      <w:r w:rsidRPr="0033697B">
        <w:rPr>
          <w:sz w:val="20"/>
          <w:szCs w:val="20"/>
        </w:rPr>
        <w:fldChar w:fldCharType="end"/>
      </w:r>
      <w:r w:rsidRPr="0033697B">
        <w:rPr>
          <w:sz w:val="20"/>
          <w:szCs w:val="20"/>
        </w:rPr>
        <w:t xml:space="preserve">  UE handover in reduced signalling</w:t>
      </w:r>
    </w:p>
    <w:p w14:paraId="48E6BB16" w14:textId="77777777" w:rsidR="009864E7" w:rsidRPr="0033697B" w:rsidRDefault="009864E7" w:rsidP="009864E7">
      <w:pPr>
        <w:pStyle w:val="Doc-text2"/>
        <w:ind w:left="0" w:firstLine="0"/>
        <w:rPr>
          <w:rFonts w:ascii="Times New Roman" w:hAnsi="Times New Roman" w:cs="Times New Roman"/>
          <w:szCs w:val="20"/>
        </w:rPr>
      </w:pPr>
    </w:p>
    <w:p w14:paraId="4E7A5D23" w14:textId="1B1A3365" w:rsidR="00AB1A46" w:rsidRDefault="009864E7" w:rsidP="009864E7">
      <w:pPr>
        <w:rPr>
          <w:b/>
          <w:lang w:eastAsia="zh-CN"/>
        </w:rPr>
      </w:pPr>
      <w:r w:rsidRPr="0033697B">
        <w:rPr>
          <w:b/>
        </w:rPr>
        <w:t xml:space="preserve">Observation </w:t>
      </w:r>
      <w:r w:rsidR="00F1480C">
        <w:rPr>
          <w:b/>
        </w:rPr>
        <w:t>2</w:t>
      </w:r>
      <w:r w:rsidRPr="0033697B">
        <w:rPr>
          <w:b/>
        </w:rPr>
        <w:t xml:space="preserve">, </w:t>
      </w:r>
      <w:r w:rsidRPr="0033697B">
        <w:rPr>
          <w:rFonts w:hint="eastAsia"/>
          <w:b/>
          <w:lang w:eastAsia="zh-CN"/>
        </w:rPr>
        <w:t>the</w:t>
      </w:r>
      <w:r w:rsidRPr="0033697B">
        <w:rPr>
          <w:b/>
        </w:rPr>
        <w:t xml:space="preserve"> </w:t>
      </w:r>
      <w:r w:rsidRPr="0033697B">
        <w:rPr>
          <w:rFonts w:hint="eastAsia"/>
          <w:b/>
          <w:lang w:eastAsia="zh-CN"/>
        </w:rPr>
        <w:t>difference</w:t>
      </w:r>
      <w:r w:rsidRPr="0033697B">
        <w:rPr>
          <w:b/>
        </w:rPr>
        <w:t xml:space="preserve"> </w:t>
      </w:r>
      <w:r w:rsidRPr="0033697B">
        <w:rPr>
          <w:rFonts w:hint="eastAsia"/>
          <w:b/>
          <w:lang w:eastAsia="zh-CN"/>
        </w:rPr>
        <w:t>between</w:t>
      </w:r>
      <w:r w:rsidRPr="0033697B">
        <w:rPr>
          <w:b/>
        </w:rPr>
        <w:t xml:space="preserve"> </w:t>
      </w:r>
      <w:r w:rsidRPr="0033697B">
        <w:rPr>
          <w:rFonts w:hint="eastAsia"/>
          <w:b/>
          <w:lang w:eastAsia="zh-CN"/>
        </w:rPr>
        <w:t>legacy</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and</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in</w:t>
      </w:r>
      <w:r w:rsidRPr="0033697B">
        <w:rPr>
          <w:b/>
        </w:rPr>
        <w:t xml:space="preserve"> DU </w:t>
      </w:r>
      <w:r w:rsidRPr="0033697B">
        <w:rPr>
          <w:rFonts w:hint="eastAsia"/>
          <w:b/>
          <w:lang w:eastAsia="zh-CN"/>
        </w:rPr>
        <w:t>migration is</w:t>
      </w:r>
      <w:r w:rsidRPr="0033697B">
        <w:rPr>
          <w:b/>
          <w:lang w:eastAsia="zh-CN"/>
        </w:rPr>
        <w:t xml:space="preserve"> </w:t>
      </w:r>
      <w:r w:rsidRPr="0033697B">
        <w:rPr>
          <w:rFonts w:hint="eastAsia"/>
          <w:b/>
          <w:lang w:eastAsia="zh-CN"/>
        </w:rPr>
        <w:t>that</w:t>
      </w:r>
      <w:r w:rsidRPr="0033697B">
        <w:rPr>
          <w:b/>
          <w:lang w:eastAsia="zh-CN"/>
        </w:rPr>
        <w:t xml:space="preserve"> the source DU (i.e. IAB-DU1) </w:t>
      </w:r>
      <w:r w:rsidR="00AB1A46">
        <w:rPr>
          <w:b/>
          <w:lang w:eastAsia="zh-CN"/>
        </w:rPr>
        <w:t>and the</w:t>
      </w:r>
      <w:r w:rsidRPr="0033697B">
        <w:rPr>
          <w:b/>
          <w:lang w:eastAsia="zh-CN"/>
        </w:rPr>
        <w:t xml:space="preserve"> target DU (i.e. IAB-DU2) </w:t>
      </w:r>
      <w:r w:rsidR="00AB1A46">
        <w:rPr>
          <w:b/>
          <w:lang w:eastAsia="zh-CN"/>
        </w:rPr>
        <w:t>are physically co-located, they can share UE context and UE behaviour towards each other</w:t>
      </w:r>
      <w:r w:rsidRPr="0033697B">
        <w:rPr>
          <w:b/>
          <w:lang w:eastAsia="zh-CN"/>
        </w:rPr>
        <w:t>.</w:t>
      </w:r>
    </w:p>
    <w:p w14:paraId="317D161B" w14:textId="6C506AA5" w:rsidR="00AB1A46" w:rsidRDefault="009864E7" w:rsidP="009864E7">
      <w:pPr>
        <w:rPr>
          <w:b/>
        </w:rPr>
      </w:pPr>
      <w:r w:rsidRPr="0033697B">
        <w:rPr>
          <w:b/>
        </w:rPr>
        <w:t xml:space="preserve">Proposal </w:t>
      </w:r>
      <w:r w:rsidR="00F1480C">
        <w:rPr>
          <w:b/>
        </w:rPr>
        <w:t>3</w:t>
      </w:r>
      <w:r w:rsidRPr="0033697B">
        <w:rPr>
          <w:b/>
        </w:rPr>
        <w:t>, RAN3 agree</w:t>
      </w:r>
      <w:r w:rsidR="00F1480C">
        <w:rPr>
          <w:b/>
        </w:rPr>
        <w:t>s</w:t>
      </w:r>
      <w:r w:rsidRPr="0033697B">
        <w:rPr>
          <w:b/>
        </w:rPr>
        <w:t xml:space="preserve"> that </w:t>
      </w:r>
      <w:r w:rsidR="00AB1A46">
        <w:rPr>
          <w:b/>
        </w:rPr>
        <w:t>the UE context setup in mIAB-DU2 can be triggered by the UE context modification procedure between source IAB-donor-CU and mIAB-DU1.</w:t>
      </w:r>
    </w:p>
    <w:p w14:paraId="37C02879" w14:textId="3D547670" w:rsidR="009864E7" w:rsidRPr="0033697B" w:rsidRDefault="00AB1A46" w:rsidP="00AB1A46">
      <w:pPr>
        <w:rPr>
          <w:b/>
        </w:rPr>
      </w:pPr>
      <w:r>
        <w:rPr>
          <w:b/>
        </w:rPr>
        <w:t xml:space="preserve">Proposal </w:t>
      </w:r>
      <w:r w:rsidR="00F1480C">
        <w:rPr>
          <w:b/>
        </w:rPr>
        <w:t>4</w:t>
      </w:r>
      <w:r>
        <w:rPr>
          <w:b/>
        </w:rPr>
        <w:t xml:space="preserve">, RAN3 agrees that </w:t>
      </w:r>
      <w:r w:rsidR="009864E7" w:rsidRPr="0033697B">
        <w:rPr>
          <w:b/>
        </w:rPr>
        <w:t xml:space="preserve">the </w:t>
      </w:r>
      <w:r>
        <w:rPr>
          <w:b/>
        </w:rPr>
        <w:t>m</w:t>
      </w:r>
      <w:r w:rsidR="009864E7" w:rsidRPr="0033697B">
        <w:rPr>
          <w:b/>
        </w:rPr>
        <w:t>IAB-DU1 can release the UE context by knowing the UE’s successful access to the IAB-DU2.</w:t>
      </w:r>
    </w:p>
    <w:p w14:paraId="2E15220A" w14:textId="77777777" w:rsidR="00DA4CB1" w:rsidRDefault="00DA4CB1" w:rsidP="00DA4CB1">
      <w:pPr>
        <w:pStyle w:val="Doc-text2"/>
        <w:ind w:left="0" w:firstLine="0"/>
        <w:rPr>
          <w:rFonts w:ascii="Times New Roman" w:hAnsi="Times New Roman" w:cs="Times New Roman"/>
          <w:lang w:val="en-US"/>
        </w:rPr>
      </w:pPr>
    </w:p>
    <w:p w14:paraId="663ED5DD" w14:textId="34A639CE" w:rsidR="009864E7" w:rsidRPr="009864E7" w:rsidRDefault="009167FE" w:rsidP="00AB1A46">
      <w:pPr>
        <w:pStyle w:val="2"/>
      </w:pPr>
      <w:r w:rsidRPr="00971F47">
        <w:t>2.</w:t>
      </w:r>
      <w:r w:rsidR="00AB1A46">
        <w:t>3</w:t>
      </w:r>
      <w:r w:rsidRPr="00971F47">
        <w:t xml:space="preserve"> </w:t>
      </w:r>
      <w:r>
        <w:t>RACH-less</w:t>
      </w:r>
    </w:p>
    <w:p w14:paraId="18FAC4E9" w14:textId="3606E574" w:rsidR="00516A56" w:rsidRDefault="00516A56" w:rsidP="009167FE">
      <w:pPr>
        <w:pStyle w:val="Doc-text2"/>
        <w:ind w:left="0" w:firstLine="0"/>
        <w:rPr>
          <w:rFonts w:ascii="Times New Roman" w:eastAsia="宋体" w:hAnsi="Times New Roman" w:cs="Times New Roman"/>
          <w:szCs w:val="20"/>
          <w:lang w:eastAsia="en-US"/>
        </w:rPr>
      </w:pPr>
      <w:r>
        <w:rPr>
          <w:rFonts w:ascii="Times New Roman" w:eastAsia="宋体" w:hAnsi="Times New Roman" w:cs="Times New Roman"/>
          <w:szCs w:val="20"/>
          <w:lang w:eastAsia="en-US"/>
        </w:rPr>
        <w:t>There is a LS</w:t>
      </w:r>
      <w:r w:rsidR="00AB1A46">
        <w:rPr>
          <w:rFonts w:ascii="Times New Roman" w:eastAsia="宋体" w:hAnsi="Times New Roman" w:cs="Times New Roman"/>
          <w:szCs w:val="20"/>
          <w:lang w:eastAsia="en-US"/>
        </w:rPr>
        <w:t xml:space="preserve"> </w:t>
      </w:r>
      <w:r>
        <w:rPr>
          <w:rFonts w:ascii="Times New Roman" w:eastAsia="宋体" w:hAnsi="Times New Roman" w:cs="Times New Roman"/>
          <w:szCs w:val="20"/>
          <w:lang w:eastAsia="en-US"/>
        </w:rPr>
        <w:t xml:space="preserve">[1] from RAN2 to </w:t>
      </w:r>
      <w:r w:rsidRPr="00516A56">
        <w:rPr>
          <w:rFonts w:ascii="Times New Roman" w:eastAsia="宋体" w:hAnsi="Times New Roman" w:cs="Times New Roman"/>
          <w:szCs w:val="20"/>
          <w:lang w:eastAsia="en-US"/>
        </w:rPr>
        <w:t>check whether there are issues / feasibility concerns</w:t>
      </w:r>
      <w:r w:rsidR="00AB1A46">
        <w:rPr>
          <w:rFonts w:ascii="Times New Roman" w:eastAsia="宋体" w:hAnsi="Times New Roman" w:cs="Times New Roman"/>
          <w:szCs w:val="20"/>
          <w:lang w:eastAsia="en-US"/>
        </w:rPr>
        <w:t xml:space="preserve"> on RACH-less handover. The following is the content of the LS.</w:t>
      </w:r>
    </w:p>
    <w:p w14:paraId="7982B114" w14:textId="25D04307" w:rsidR="00516A56" w:rsidRDefault="00516A56" w:rsidP="009167FE">
      <w:pPr>
        <w:pStyle w:val="Doc-text2"/>
        <w:ind w:left="0" w:firstLine="0"/>
        <w:rPr>
          <w:rFonts w:ascii="Times New Roman" w:eastAsia="宋体" w:hAnsi="Times New Roman" w:cs="Times New Roman"/>
          <w:szCs w:val="20"/>
          <w:lang w:eastAsia="en-US"/>
        </w:rPr>
      </w:pPr>
    </w:p>
    <w:p w14:paraId="490D2E3A" w14:textId="77777777" w:rsidR="00CA6960" w:rsidRPr="00AB1A46" w:rsidRDefault="00CA6960" w:rsidP="00CA6960">
      <w:pPr>
        <w:spacing w:after="120"/>
        <w:rPr>
          <w:rFonts w:ascii="Arial" w:hAnsi="Arial" w:cs="Arial"/>
          <w:i/>
          <w:color w:val="767171" w:themeColor="background2" w:themeShade="80"/>
          <w:lang w:eastAsia="en-GB"/>
        </w:rPr>
      </w:pPr>
      <w:r w:rsidRPr="00AB1A46">
        <w:rPr>
          <w:rFonts w:ascii="Arial" w:hAnsi="Arial" w:cs="Arial"/>
          <w:i/>
          <w:color w:val="767171" w:themeColor="background2" w:themeShade="80"/>
          <w:lang w:eastAsia="en-GB"/>
        </w:rPr>
        <w:t>RAN2 has discussed the UE RACH-less handover in mobile IAB and achieved the following agreements:</w:t>
      </w:r>
    </w:p>
    <w:p w14:paraId="19B3493B" w14:textId="77777777" w:rsidR="00CA6960" w:rsidRPr="00AB1A46" w:rsidRDefault="00CA6960" w:rsidP="00CA6960">
      <w:pPr>
        <w:pStyle w:val="Agreement"/>
        <w:numPr>
          <w:ilvl w:val="0"/>
          <w:numId w:val="0"/>
        </w:numPr>
        <w:rPr>
          <w:rFonts w:eastAsiaTheme="minorEastAsia"/>
          <w:b w:val="0"/>
          <w:i/>
          <w:lang w:eastAsia="zh-CN"/>
        </w:rPr>
      </w:pPr>
    </w:p>
    <w:p w14:paraId="0E0D0DF7" w14:textId="77777777" w:rsidR="00CA6960" w:rsidRPr="00AB1A46" w:rsidRDefault="00CA6960" w:rsidP="00CA6960">
      <w:pPr>
        <w:pStyle w:val="Agreement"/>
        <w:numPr>
          <w:ilvl w:val="0"/>
          <w:numId w:val="0"/>
        </w:numPr>
        <w:rPr>
          <w:rFonts w:eastAsiaTheme="minorEastAsia"/>
          <w:b w:val="0"/>
          <w:i/>
          <w:color w:val="767171" w:themeColor="background2" w:themeShade="80"/>
          <w:lang w:eastAsia="zh-CN"/>
        </w:rPr>
      </w:pPr>
      <w:r w:rsidRPr="00AB1A46">
        <w:rPr>
          <w:rFonts w:eastAsiaTheme="minorEastAsia" w:hint="eastAsia"/>
          <w:b w:val="0"/>
          <w:i/>
          <w:color w:val="767171" w:themeColor="background2" w:themeShade="80"/>
          <w:lang w:eastAsia="zh-CN"/>
        </w:rPr>
        <w:t>R</w:t>
      </w:r>
      <w:r w:rsidRPr="00AB1A46">
        <w:rPr>
          <w:rFonts w:eastAsiaTheme="minorEastAsia"/>
          <w:b w:val="0"/>
          <w:i/>
          <w:color w:val="767171" w:themeColor="background2" w:themeShade="80"/>
          <w:lang w:eastAsia="zh-CN"/>
        </w:rPr>
        <w:t>AN2#121bis meeting agreements:</w:t>
      </w:r>
    </w:p>
    <w:p w14:paraId="25DD72AE"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 xml:space="preserve">Feasibility of beam handling during RACH-less HO in the </w:t>
      </w:r>
      <w:proofErr w:type="spellStart"/>
      <w:r w:rsidRPr="00AB1A46">
        <w:rPr>
          <w:b w:val="0"/>
          <w:i/>
          <w:color w:val="767171" w:themeColor="background2" w:themeShade="80"/>
        </w:rPr>
        <w:t>mIAB</w:t>
      </w:r>
      <w:proofErr w:type="spellEnd"/>
      <w:r w:rsidRPr="00AB1A46">
        <w:rPr>
          <w:b w:val="0"/>
          <w:i/>
          <w:color w:val="767171" w:themeColor="background2" w:themeShade="80"/>
        </w:rPr>
        <w:t xml:space="preserve"> WI is FFS (and this need to be addressed for RACH-less to be supported for </w:t>
      </w:r>
      <w:proofErr w:type="spellStart"/>
      <w:r w:rsidRPr="00AB1A46">
        <w:rPr>
          <w:b w:val="0"/>
          <w:i/>
          <w:color w:val="767171" w:themeColor="background2" w:themeShade="80"/>
        </w:rPr>
        <w:t>mIAB</w:t>
      </w:r>
      <w:proofErr w:type="spellEnd"/>
      <w:r w:rsidRPr="00AB1A46">
        <w:rPr>
          <w:b w:val="0"/>
          <w:i/>
          <w:color w:val="767171" w:themeColor="background2" w:themeShade="80"/>
        </w:rPr>
        <w:t xml:space="preserve">). </w:t>
      </w:r>
    </w:p>
    <w:p w14:paraId="3B854EA9"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RAN2 discuss further the following options to support beam operation for the first UL transmission/DL reception towards the target logical DU in RACH-less HO during DU migration:</w:t>
      </w:r>
    </w:p>
    <w:p w14:paraId="04276DE2" w14:textId="77777777" w:rsidR="00CA6960" w:rsidRPr="00AB1A46" w:rsidRDefault="00CA6960" w:rsidP="00CA6960">
      <w:pPr>
        <w:pStyle w:val="Agreement"/>
        <w:numPr>
          <w:ilvl w:val="0"/>
          <w:numId w:val="0"/>
        </w:numPr>
        <w:ind w:left="1619"/>
        <w:rPr>
          <w:b w:val="0"/>
          <w:i/>
          <w:color w:val="767171" w:themeColor="background2" w:themeShade="80"/>
        </w:rPr>
      </w:pPr>
      <w:r w:rsidRPr="00AB1A46">
        <w:rPr>
          <w:b w:val="0"/>
          <w:i/>
          <w:color w:val="767171" w:themeColor="background2" w:themeShade="80"/>
        </w:rPr>
        <w:t xml:space="preserve">Option 1: (Explicit approach) Explicit beam information is included in HO command. FFS the details. </w:t>
      </w:r>
    </w:p>
    <w:p w14:paraId="77AF2B53" w14:textId="77777777" w:rsidR="00CA6960" w:rsidRPr="00AB1A46" w:rsidRDefault="00CA6960" w:rsidP="00CA6960">
      <w:pPr>
        <w:pStyle w:val="Agreement"/>
        <w:numPr>
          <w:ilvl w:val="0"/>
          <w:numId w:val="0"/>
        </w:numPr>
        <w:ind w:left="1619"/>
        <w:rPr>
          <w:b w:val="0"/>
          <w:i/>
          <w:color w:val="767171" w:themeColor="background2" w:themeShade="80"/>
        </w:rPr>
      </w:pPr>
      <w:r w:rsidRPr="00AB1A46">
        <w:rPr>
          <w:b w:val="0"/>
          <w:i/>
          <w:color w:val="767171" w:themeColor="background2" w:themeShade="80"/>
        </w:rPr>
        <w:t>Option 2: (Implicit approach) UE re-uses the same beam status as in the source cell (the beam information is not carried explicitly in HO command).</w:t>
      </w:r>
    </w:p>
    <w:p w14:paraId="161E0026"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 xml:space="preserve">RACH-less HO with same TA with security key change is in scope for served UEs during </w:t>
      </w:r>
      <w:proofErr w:type="spellStart"/>
      <w:r w:rsidRPr="00AB1A46">
        <w:rPr>
          <w:b w:val="0"/>
          <w:i/>
          <w:color w:val="767171" w:themeColor="background2" w:themeShade="80"/>
        </w:rPr>
        <w:t>mIAB</w:t>
      </w:r>
      <w:proofErr w:type="spellEnd"/>
      <w:r w:rsidRPr="00AB1A46">
        <w:rPr>
          <w:b w:val="0"/>
          <w:i/>
          <w:color w:val="767171" w:themeColor="background2" w:themeShade="80"/>
        </w:rPr>
        <w:t xml:space="preserve"> DU migration. FFS UL grant and HO completion procedure in </w:t>
      </w:r>
      <w:proofErr w:type="spellStart"/>
      <w:r w:rsidRPr="00AB1A46">
        <w:rPr>
          <w:b w:val="0"/>
          <w:i/>
          <w:color w:val="767171" w:themeColor="background2" w:themeShade="80"/>
        </w:rPr>
        <w:t>mIAB</w:t>
      </w:r>
      <w:proofErr w:type="spellEnd"/>
      <w:r w:rsidRPr="00AB1A46">
        <w:rPr>
          <w:b w:val="0"/>
          <w:i/>
          <w:color w:val="767171" w:themeColor="background2" w:themeShade="80"/>
        </w:rPr>
        <w:t xml:space="preserve"> RACH-less HO.</w:t>
      </w:r>
    </w:p>
    <w:p w14:paraId="17F861FD" w14:textId="77777777" w:rsidR="00CA6960" w:rsidRPr="00AB1A46" w:rsidRDefault="00CA6960" w:rsidP="00CA6960">
      <w:pPr>
        <w:pStyle w:val="Agreement"/>
        <w:numPr>
          <w:ilvl w:val="0"/>
          <w:numId w:val="0"/>
        </w:numPr>
        <w:rPr>
          <w:rFonts w:eastAsiaTheme="minorEastAsia"/>
          <w:b w:val="0"/>
          <w:i/>
          <w:color w:val="767171" w:themeColor="background2" w:themeShade="80"/>
          <w:lang w:eastAsia="zh-CN"/>
        </w:rPr>
      </w:pPr>
      <w:r w:rsidRPr="00AB1A46">
        <w:rPr>
          <w:rFonts w:eastAsiaTheme="minorEastAsia" w:hint="eastAsia"/>
          <w:b w:val="0"/>
          <w:i/>
          <w:color w:val="767171" w:themeColor="background2" w:themeShade="80"/>
          <w:lang w:eastAsia="zh-CN"/>
        </w:rPr>
        <w:t>R</w:t>
      </w:r>
      <w:r w:rsidRPr="00AB1A46">
        <w:rPr>
          <w:rFonts w:eastAsiaTheme="minorEastAsia"/>
          <w:b w:val="0"/>
          <w:i/>
          <w:color w:val="767171" w:themeColor="background2" w:themeShade="80"/>
          <w:lang w:eastAsia="zh-CN"/>
        </w:rPr>
        <w:t>AN2#122 meeting agreements:</w:t>
      </w:r>
    </w:p>
    <w:p w14:paraId="2ED3D285"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RAN2 think that to have a fast handover from UE point of view for legacy UEs it is important that the target cell is known to the UE (detected and measured).</w:t>
      </w:r>
    </w:p>
    <w:p w14:paraId="0F400738"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 xml:space="preserve">For RACH-less, if supported, there would need to be a beam indication (in RRC HO command), which seems feasible in this release from R2 perspective. R2 assumes that the network can know/select the beam, either from network </w:t>
      </w:r>
      <w:proofErr w:type="spellStart"/>
      <w:r w:rsidRPr="00AB1A46">
        <w:rPr>
          <w:b w:val="0"/>
          <w:i/>
          <w:color w:val="767171" w:themeColor="background2" w:themeShade="80"/>
        </w:rPr>
        <w:t>impl</w:t>
      </w:r>
      <w:proofErr w:type="spellEnd"/>
      <w:r w:rsidRPr="00AB1A46">
        <w:rPr>
          <w:b w:val="0"/>
          <w:i/>
          <w:color w:val="767171" w:themeColor="background2" w:themeShade="80"/>
        </w:rPr>
        <w:t xml:space="preserve"> specific knowledge or from UE measurement report (legacy report).</w:t>
      </w:r>
    </w:p>
    <w:p w14:paraId="2661AD16" w14:textId="77777777" w:rsidR="00CA6960" w:rsidRPr="00AB1A46" w:rsidRDefault="00CA6960" w:rsidP="00CA6960">
      <w:pPr>
        <w:pStyle w:val="Agreement"/>
        <w:tabs>
          <w:tab w:val="clear" w:pos="630"/>
          <w:tab w:val="num" w:pos="1619"/>
        </w:tabs>
        <w:ind w:left="1619"/>
        <w:rPr>
          <w:b w:val="0"/>
          <w:i/>
          <w:color w:val="767171" w:themeColor="background2" w:themeShade="80"/>
          <w:lang w:eastAsia="en-US"/>
        </w:rPr>
      </w:pPr>
      <w:r w:rsidRPr="00AB1A46">
        <w:rPr>
          <w:b w:val="0"/>
          <w:i/>
          <w:color w:val="767171" w:themeColor="background2" w:themeShade="80"/>
          <w:lang w:eastAsia="en-US"/>
        </w:rPr>
        <w:t>for the UL grant and HO completion in RACH-less HO:</w:t>
      </w:r>
    </w:p>
    <w:p w14:paraId="0C39F23F" w14:textId="77777777" w:rsidR="00CA6960" w:rsidRPr="00AB1A46" w:rsidRDefault="00CA6960" w:rsidP="00CA6960">
      <w:pPr>
        <w:pStyle w:val="Agreement"/>
        <w:numPr>
          <w:ilvl w:val="0"/>
          <w:numId w:val="0"/>
        </w:numPr>
        <w:ind w:left="1619"/>
        <w:rPr>
          <w:b w:val="0"/>
          <w:i/>
          <w:color w:val="767171" w:themeColor="background2" w:themeShade="80"/>
          <w:lang w:eastAsia="en-US"/>
        </w:rPr>
      </w:pPr>
      <w:r w:rsidRPr="00AB1A46">
        <w:rPr>
          <w:b w:val="0"/>
          <w:i/>
          <w:color w:val="767171" w:themeColor="background2" w:themeShade="80"/>
          <w:lang w:eastAsia="en-US"/>
        </w:rPr>
        <w:t>1. Both type-1 configured grant and dynamic grant are supported</w:t>
      </w:r>
    </w:p>
    <w:p w14:paraId="260F18C8" w14:textId="77777777" w:rsidR="00CA6960" w:rsidRPr="00AB1A46" w:rsidRDefault="00CA6960" w:rsidP="00CA6960">
      <w:pPr>
        <w:pStyle w:val="Agreement"/>
        <w:numPr>
          <w:ilvl w:val="0"/>
          <w:numId w:val="0"/>
        </w:numPr>
        <w:ind w:left="1619"/>
        <w:rPr>
          <w:b w:val="0"/>
          <w:i/>
          <w:color w:val="767171" w:themeColor="background2" w:themeShade="80"/>
        </w:rPr>
      </w:pPr>
      <w:r w:rsidRPr="00AB1A46">
        <w:rPr>
          <w:rFonts w:eastAsia="Times New Roman"/>
          <w:b w:val="0"/>
          <w:i/>
          <w:color w:val="767171" w:themeColor="background2" w:themeShade="80"/>
          <w:szCs w:val="20"/>
          <w:lang w:eastAsia="en-US"/>
        </w:rPr>
        <w:t xml:space="preserve">2. FFS handling of supervision timer and when HO is considered successfully complete (expect to align with </w:t>
      </w:r>
      <w:proofErr w:type="gramStart"/>
      <w:r w:rsidRPr="00AB1A46">
        <w:rPr>
          <w:rFonts w:eastAsia="Times New Roman"/>
          <w:b w:val="0"/>
          <w:i/>
          <w:color w:val="767171" w:themeColor="background2" w:themeShade="80"/>
          <w:szCs w:val="20"/>
          <w:lang w:eastAsia="en-US"/>
        </w:rPr>
        <w:t>other</w:t>
      </w:r>
      <w:proofErr w:type="gramEnd"/>
      <w:r w:rsidRPr="00AB1A46">
        <w:rPr>
          <w:rFonts w:eastAsia="Times New Roman"/>
          <w:b w:val="0"/>
          <w:i/>
          <w:color w:val="767171" w:themeColor="background2" w:themeShade="80"/>
          <w:szCs w:val="20"/>
          <w:lang w:eastAsia="en-US"/>
        </w:rPr>
        <w:t xml:space="preserve"> WI). </w:t>
      </w:r>
    </w:p>
    <w:p w14:paraId="2C36657B" w14:textId="77777777" w:rsidR="00CA6960" w:rsidRPr="00AB1A46" w:rsidRDefault="00CA6960" w:rsidP="00CA6960">
      <w:pPr>
        <w:pStyle w:val="Agreement"/>
        <w:tabs>
          <w:tab w:val="clear" w:pos="630"/>
          <w:tab w:val="num" w:pos="1619"/>
        </w:tabs>
        <w:ind w:left="1619"/>
        <w:rPr>
          <w:b w:val="0"/>
          <w:i/>
          <w:color w:val="767171" w:themeColor="background2" w:themeShade="80"/>
        </w:rPr>
      </w:pPr>
      <w:r w:rsidRPr="00AB1A46">
        <w:rPr>
          <w:b w:val="0"/>
          <w:i/>
          <w:color w:val="767171" w:themeColor="background2" w:themeShade="80"/>
        </w:rPr>
        <w:t>Send LS to RAN3 to check whether there are issues / feasibility concerns</w:t>
      </w:r>
    </w:p>
    <w:p w14:paraId="3DDFFBB2" w14:textId="77777777" w:rsidR="00CA6960" w:rsidRPr="00AB1A46" w:rsidRDefault="00CA6960" w:rsidP="00CA6960">
      <w:pPr>
        <w:widowControl w:val="0"/>
        <w:spacing w:after="0"/>
        <w:jc w:val="both"/>
        <w:rPr>
          <w:color w:val="767171" w:themeColor="background2" w:themeShade="80"/>
        </w:rPr>
      </w:pPr>
    </w:p>
    <w:p w14:paraId="54C7B79A" w14:textId="77777777" w:rsidR="00CA6960" w:rsidRPr="00AB1A46" w:rsidRDefault="00CA6960" w:rsidP="00CA6960">
      <w:pPr>
        <w:spacing w:after="120"/>
        <w:rPr>
          <w:rFonts w:ascii="Arial" w:hAnsi="Arial" w:cs="Arial"/>
          <w:i/>
          <w:color w:val="767171" w:themeColor="background2" w:themeShade="80"/>
          <w:lang w:eastAsia="en-GB"/>
        </w:rPr>
      </w:pPr>
    </w:p>
    <w:p w14:paraId="0CDB63EB" w14:textId="77777777" w:rsidR="00CA6960" w:rsidRPr="00AB1A46" w:rsidRDefault="00CA6960" w:rsidP="00CA6960">
      <w:pPr>
        <w:spacing w:after="120"/>
        <w:rPr>
          <w:rFonts w:ascii="Arial" w:hAnsi="Arial" w:cs="Arial"/>
          <w:i/>
          <w:lang w:eastAsia="en-GB"/>
        </w:rPr>
      </w:pPr>
      <w:r w:rsidRPr="00AB1A46">
        <w:rPr>
          <w:rFonts w:ascii="Arial" w:hAnsi="Arial" w:cs="Arial"/>
          <w:i/>
          <w:color w:val="767171" w:themeColor="background2" w:themeShade="80"/>
          <w:lang w:eastAsia="en-GB"/>
        </w:rPr>
        <w:t>RAN2 would like to ask RAN3 to take those agreements into account and provide feedbacks if there are any issues or feasibility concerns.</w:t>
      </w:r>
    </w:p>
    <w:p w14:paraId="62B93B59" w14:textId="77777777" w:rsidR="00CA6960" w:rsidRDefault="00CA6960" w:rsidP="009167FE">
      <w:pPr>
        <w:pStyle w:val="Doc-text2"/>
        <w:ind w:left="0" w:firstLine="0"/>
        <w:rPr>
          <w:rFonts w:ascii="Times New Roman" w:eastAsia="宋体" w:hAnsi="Times New Roman" w:cs="Times New Roman"/>
          <w:szCs w:val="20"/>
          <w:lang w:eastAsia="en-US"/>
        </w:rPr>
      </w:pPr>
    </w:p>
    <w:p w14:paraId="67327C4E" w14:textId="77777777" w:rsidR="001C1387" w:rsidRDefault="00AB1A46" w:rsidP="00AB1A46">
      <w:pPr>
        <w:widowControl w:val="0"/>
        <w:tabs>
          <w:tab w:val="right" w:pos="9641"/>
        </w:tabs>
        <w:rPr>
          <w:rFonts w:eastAsia="MS Mincho"/>
          <w:lang w:eastAsia="en-GB"/>
        </w:rPr>
      </w:pPr>
      <w:r>
        <w:rPr>
          <w:rFonts w:eastAsia="MS Mincho"/>
          <w:lang w:eastAsia="en-GB"/>
        </w:rPr>
        <w:t xml:space="preserve">From RAN3 </w:t>
      </w:r>
      <w:r w:rsidR="001C1387">
        <w:rPr>
          <w:rFonts w:eastAsia="MS Mincho"/>
          <w:lang w:eastAsia="en-GB"/>
        </w:rPr>
        <w:t>perspective</w:t>
      </w:r>
      <w:r>
        <w:rPr>
          <w:rFonts w:eastAsia="MS Mincho"/>
          <w:lang w:eastAsia="en-GB"/>
        </w:rPr>
        <w:t>, the</w:t>
      </w:r>
      <w:r w:rsidR="001C1387">
        <w:rPr>
          <w:rFonts w:eastAsia="MS Mincho"/>
          <w:lang w:eastAsia="en-GB"/>
        </w:rPr>
        <w:t xml:space="preserve">re are two aspects that RAN3 needs to consider if RACH-less Handover is used. </w:t>
      </w:r>
    </w:p>
    <w:p w14:paraId="3A5BC120" w14:textId="4FF5A1A3" w:rsidR="001C1387" w:rsidRPr="001C1387" w:rsidRDefault="001C1387" w:rsidP="001C1387">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sidRPr="001C1387">
        <w:rPr>
          <w:rFonts w:ascii="Times New Roman" w:eastAsia="MS Mincho" w:hAnsi="Times New Roman"/>
          <w:sz w:val="20"/>
          <w:lang w:eastAsia="en-GB"/>
        </w:rPr>
        <w:t>RACH-less handover</w:t>
      </w:r>
      <w:r w:rsidR="008B3039">
        <w:rPr>
          <w:rFonts w:ascii="Times New Roman" w:eastAsia="MS Mincho" w:hAnsi="Times New Roman"/>
          <w:sz w:val="20"/>
          <w:lang w:eastAsia="en-GB"/>
        </w:rPr>
        <w:t xml:space="preserve"> decision</w:t>
      </w:r>
    </w:p>
    <w:p w14:paraId="261CD15E" w14:textId="0473DA95" w:rsidR="001C1387" w:rsidRPr="001C1387" w:rsidRDefault="001C1387" w:rsidP="001C1387">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sidRPr="001C1387">
        <w:rPr>
          <w:rFonts w:ascii="Times New Roman" w:eastAsia="MS Mincho" w:hAnsi="Times New Roman"/>
          <w:sz w:val="20"/>
          <w:lang w:eastAsia="en-GB"/>
        </w:rPr>
        <w:t>The RACH-less configuration</w:t>
      </w:r>
    </w:p>
    <w:p w14:paraId="6AADD9EF" w14:textId="77777777" w:rsidR="001C1387" w:rsidRDefault="001C1387" w:rsidP="001C1387">
      <w:pPr>
        <w:widowControl w:val="0"/>
        <w:tabs>
          <w:tab w:val="right" w:pos="9641"/>
        </w:tabs>
        <w:rPr>
          <w:rFonts w:eastAsia="MS Mincho"/>
          <w:lang w:eastAsia="en-GB"/>
        </w:rPr>
      </w:pPr>
    </w:p>
    <w:p w14:paraId="55390CD1" w14:textId="45BC53E2" w:rsidR="009167FE" w:rsidRPr="001C1387" w:rsidRDefault="001C1387" w:rsidP="001C1387">
      <w:pPr>
        <w:widowControl w:val="0"/>
        <w:tabs>
          <w:tab w:val="right" w:pos="9641"/>
        </w:tabs>
        <w:rPr>
          <w:rFonts w:eastAsia="MS Mincho"/>
          <w:lang w:eastAsia="en-GB"/>
        </w:rPr>
      </w:pPr>
      <w:r w:rsidRPr="008B3039">
        <w:rPr>
          <w:rFonts w:eastAsia="MS Mincho"/>
          <w:b/>
          <w:lang w:eastAsia="en-GB"/>
        </w:rPr>
        <w:t>For RACH-less handover</w:t>
      </w:r>
      <w:r w:rsidR="008B3039" w:rsidRPr="008B3039">
        <w:rPr>
          <w:rFonts w:eastAsia="MS Mincho"/>
          <w:b/>
          <w:lang w:eastAsia="en-GB"/>
        </w:rPr>
        <w:t xml:space="preserve"> decision</w:t>
      </w:r>
      <w:r>
        <w:rPr>
          <w:rFonts w:eastAsia="MS Mincho"/>
          <w:lang w:eastAsia="en-GB"/>
        </w:rPr>
        <w:t>, the</w:t>
      </w:r>
      <w:r w:rsidR="00AB1A46" w:rsidRPr="001C1387">
        <w:rPr>
          <w:rFonts w:eastAsia="MS Mincho"/>
          <w:lang w:eastAsia="en-GB"/>
        </w:rPr>
        <w:t xml:space="preserve"> RACH procedure is performed in IAB-DU2 (i.e. the target DU), we think </w:t>
      </w:r>
      <w:r w:rsidR="000052E7" w:rsidRPr="001C1387">
        <w:rPr>
          <w:rFonts w:eastAsia="MS Mincho"/>
          <w:lang w:eastAsia="en-GB"/>
        </w:rPr>
        <w:t xml:space="preserve">IAB-DU2 </w:t>
      </w:r>
      <w:r w:rsidR="000052E7" w:rsidRPr="001C1387">
        <w:rPr>
          <w:rFonts w:eastAsia="MS Mincho" w:hint="eastAsia"/>
          <w:lang w:eastAsia="en-GB"/>
        </w:rPr>
        <w:t>can</w:t>
      </w:r>
      <w:r w:rsidR="000052E7" w:rsidRPr="001C1387">
        <w:rPr>
          <w:rFonts w:eastAsia="MS Mincho"/>
          <w:lang w:eastAsia="en-GB"/>
        </w:rPr>
        <w:t xml:space="preserve"> decide whether to configure RACH-less according to the following information:</w:t>
      </w:r>
    </w:p>
    <w:p w14:paraId="3DC10D02" w14:textId="43882301" w:rsidR="000052E7" w:rsidRPr="001C1387" w:rsidRDefault="000052E7" w:rsidP="001C1387">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sidRPr="001C1387">
        <w:rPr>
          <w:rFonts w:ascii="Times New Roman" w:eastAsia="MS Mincho" w:hAnsi="Times New Roman"/>
          <w:sz w:val="20"/>
          <w:lang w:eastAsia="en-GB"/>
        </w:rPr>
        <w:t>Source cell and target cell ID</w:t>
      </w:r>
      <w:r w:rsidR="00BF3D1C" w:rsidRPr="001C1387">
        <w:rPr>
          <w:rFonts w:ascii="Times New Roman" w:eastAsia="MS Mincho" w:hAnsi="Times New Roman"/>
          <w:sz w:val="20"/>
          <w:lang w:eastAsia="en-GB"/>
        </w:rPr>
        <w:t>, which indicates that the UE will be served by the same IAB-node</w:t>
      </w:r>
    </w:p>
    <w:p w14:paraId="44F9EB04" w14:textId="20EB1F77" w:rsidR="000052E7" w:rsidRPr="001C1387" w:rsidRDefault="000052E7" w:rsidP="001C1387">
      <w:pPr>
        <w:pStyle w:val="a9"/>
        <w:numPr>
          <w:ilvl w:val="0"/>
          <w:numId w:val="28"/>
        </w:numPr>
        <w:tabs>
          <w:tab w:val="right" w:pos="9641"/>
        </w:tabs>
        <w:spacing w:before="120" w:after="120"/>
        <w:ind w:leftChars="0" w:left="714" w:hanging="357"/>
        <w:rPr>
          <w:rFonts w:ascii="Times New Roman" w:eastAsia="MS Mincho" w:hAnsi="Times New Roman"/>
          <w:sz w:val="20"/>
          <w:lang w:eastAsia="en-GB"/>
        </w:rPr>
      </w:pPr>
      <w:r w:rsidRPr="001C1387">
        <w:rPr>
          <w:rFonts w:ascii="Times New Roman" w:eastAsia="MS Mincho" w:hAnsi="Times New Roman"/>
          <w:sz w:val="20"/>
          <w:lang w:eastAsia="en-GB"/>
        </w:rPr>
        <w:t>L3 Measurement</w:t>
      </w:r>
      <w:r w:rsidR="00BF3D1C" w:rsidRPr="001C1387">
        <w:rPr>
          <w:rFonts w:ascii="Times New Roman" w:eastAsia="MS Mincho" w:hAnsi="Times New Roman"/>
          <w:sz w:val="20"/>
          <w:lang w:eastAsia="en-GB"/>
        </w:rPr>
        <w:t>, which can be used to select beam information (e.g. SSB-index or CSI-RS index)</w:t>
      </w:r>
    </w:p>
    <w:p w14:paraId="4147D02C" w14:textId="5AF7652D" w:rsidR="00066E76" w:rsidRPr="00AB1A46" w:rsidRDefault="000052E7" w:rsidP="001C1387">
      <w:pPr>
        <w:tabs>
          <w:tab w:val="right" w:pos="9641"/>
        </w:tabs>
        <w:spacing w:before="120" w:after="120"/>
        <w:rPr>
          <w:rFonts w:eastAsia="MS Mincho"/>
          <w:lang w:eastAsia="en-GB"/>
        </w:rPr>
      </w:pPr>
      <w:r w:rsidRPr="001C1387">
        <w:rPr>
          <w:rFonts w:eastAsia="MS Mincho"/>
          <w:lang w:eastAsia="en-GB"/>
        </w:rPr>
        <w:t xml:space="preserve">The above information </w:t>
      </w:r>
      <w:r w:rsidR="00066E76" w:rsidRPr="001C1387">
        <w:rPr>
          <w:rFonts w:eastAsia="MS Mincho"/>
          <w:lang w:eastAsia="en-GB"/>
        </w:rPr>
        <w:t>is</w:t>
      </w:r>
      <w:r w:rsidRPr="001C1387">
        <w:rPr>
          <w:rFonts w:eastAsia="MS Mincho"/>
          <w:lang w:eastAsia="en-GB"/>
        </w:rPr>
        <w:t xml:space="preserve"> included </w:t>
      </w:r>
      <w:proofErr w:type="spellStart"/>
      <w:r w:rsidR="00066E76" w:rsidRPr="001C1387">
        <w:rPr>
          <w:rFonts w:eastAsia="MS Mincho"/>
          <w:lang w:eastAsia="en-GB"/>
        </w:rPr>
        <w:t>HandoverPrepartionInformaiton</w:t>
      </w:r>
      <w:proofErr w:type="spellEnd"/>
      <w:r w:rsidR="00066E76" w:rsidRPr="001C1387">
        <w:rPr>
          <w:rFonts w:eastAsia="MS Mincho"/>
          <w:lang w:eastAsia="en-GB"/>
        </w:rPr>
        <w:t xml:space="preserve"> in the CU to DU information container.</w:t>
      </w:r>
    </w:p>
    <w:p w14:paraId="1667E6A7" w14:textId="15EDB2F7" w:rsidR="00066E76" w:rsidRPr="00AB1A46" w:rsidRDefault="001C1387" w:rsidP="00AB1A46">
      <w:pPr>
        <w:widowControl w:val="0"/>
        <w:tabs>
          <w:tab w:val="right" w:pos="9641"/>
        </w:tabs>
        <w:rPr>
          <w:rFonts w:eastAsia="MS Mincho"/>
          <w:lang w:eastAsia="en-GB"/>
        </w:rPr>
      </w:pPr>
      <w:r w:rsidRPr="008B3039">
        <w:rPr>
          <w:rFonts w:eastAsia="MS Mincho"/>
          <w:b/>
          <w:lang w:eastAsia="en-GB"/>
        </w:rPr>
        <w:t>Regarding the RACH-less related configuration</w:t>
      </w:r>
      <w:r>
        <w:rPr>
          <w:rFonts w:eastAsia="MS Mincho"/>
          <w:lang w:eastAsia="en-GB"/>
        </w:rPr>
        <w:t>, i</w:t>
      </w:r>
      <w:r w:rsidR="00066E76" w:rsidRPr="00AB1A46">
        <w:rPr>
          <w:rFonts w:eastAsia="MS Mincho"/>
          <w:lang w:eastAsia="en-GB"/>
        </w:rPr>
        <w:t>f IAB-DU2 decide to configure RACH-less</w:t>
      </w:r>
      <w:r>
        <w:rPr>
          <w:rFonts w:eastAsia="MS Mincho"/>
          <w:lang w:eastAsia="en-GB"/>
        </w:rPr>
        <w:t xml:space="preserve"> for a UE</w:t>
      </w:r>
      <w:r w:rsidR="00066E76" w:rsidRPr="00AB1A46">
        <w:rPr>
          <w:rFonts w:eastAsia="MS Mincho"/>
          <w:lang w:eastAsia="en-GB"/>
        </w:rPr>
        <w:t xml:space="preserve">, the configuration (e.g. the beam indication) can be included in the </w:t>
      </w:r>
      <w:proofErr w:type="spellStart"/>
      <w:r w:rsidR="00066E76" w:rsidRPr="00AB1A46">
        <w:rPr>
          <w:rFonts w:eastAsia="MS Mincho"/>
          <w:lang w:eastAsia="en-GB"/>
        </w:rPr>
        <w:t>HandoverCommand</w:t>
      </w:r>
      <w:proofErr w:type="spellEnd"/>
      <w:r w:rsidR="00066E76" w:rsidRPr="00AB1A46">
        <w:rPr>
          <w:rFonts w:eastAsia="MS Mincho"/>
          <w:lang w:eastAsia="en-GB"/>
        </w:rPr>
        <w:t xml:space="preserve"> in the DU to CU information container, the detail IEs can be referred to RRC specification.</w:t>
      </w:r>
    </w:p>
    <w:p w14:paraId="4BB9C243" w14:textId="6FFF9720" w:rsidR="00066E76" w:rsidRDefault="001C1387" w:rsidP="009167FE">
      <w:pPr>
        <w:pStyle w:val="Doc-text2"/>
        <w:ind w:left="0" w:firstLine="0"/>
        <w:rPr>
          <w:rFonts w:ascii="Times New Roman" w:eastAsia="宋体" w:hAnsi="Times New Roman" w:cs="Times New Roman"/>
          <w:szCs w:val="20"/>
          <w:lang w:eastAsia="en-US"/>
        </w:rPr>
      </w:pPr>
      <w:r>
        <w:rPr>
          <w:rFonts w:ascii="Times New Roman" w:eastAsia="宋体" w:hAnsi="Times New Roman" w:cs="Times New Roman"/>
          <w:szCs w:val="20"/>
          <w:lang w:eastAsia="en-US"/>
        </w:rPr>
        <w:t xml:space="preserve">With above analysis, we don’t see any issue or concerns or spec impacts to support RACH-less handover,  </w:t>
      </w:r>
    </w:p>
    <w:p w14:paraId="1B7A06E6" w14:textId="77777777" w:rsidR="000052E7" w:rsidRDefault="000052E7" w:rsidP="009167FE">
      <w:pPr>
        <w:pStyle w:val="Doc-text2"/>
        <w:ind w:left="0" w:firstLine="0"/>
        <w:rPr>
          <w:rFonts w:ascii="Times New Roman" w:eastAsia="宋体" w:hAnsi="Times New Roman" w:cs="Times New Roman"/>
          <w:szCs w:val="20"/>
          <w:lang w:eastAsia="en-US"/>
        </w:rPr>
      </w:pPr>
    </w:p>
    <w:p w14:paraId="549D491A" w14:textId="353CADA5" w:rsidR="009167FE" w:rsidRPr="00066E76" w:rsidRDefault="009167FE" w:rsidP="009167FE">
      <w:pPr>
        <w:pStyle w:val="Doc-text2"/>
        <w:ind w:left="0" w:firstLine="0"/>
        <w:rPr>
          <w:rFonts w:ascii="Times New Roman" w:eastAsia="宋体" w:hAnsi="Times New Roman" w:cs="Times New Roman"/>
          <w:b/>
          <w:szCs w:val="20"/>
          <w:lang w:eastAsia="en-US"/>
        </w:rPr>
      </w:pPr>
      <w:r w:rsidRPr="00066E76">
        <w:rPr>
          <w:rFonts w:ascii="Times New Roman" w:eastAsia="宋体" w:hAnsi="Times New Roman" w:cs="Times New Roman"/>
          <w:b/>
          <w:szCs w:val="20"/>
          <w:lang w:eastAsia="en-US"/>
        </w:rPr>
        <w:t>Observation</w:t>
      </w:r>
      <w:r w:rsidR="00F1480C">
        <w:rPr>
          <w:rFonts w:ascii="Times New Roman" w:eastAsia="宋体" w:hAnsi="Times New Roman" w:cs="Times New Roman"/>
          <w:b/>
          <w:szCs w:val="20"/>
          <w:lang w:eastAsia="en-US"/>
        </w:rPr>
        <w:t xml:space="preserve"> 3</w:t>
      </w:r>
      <w:r w:rsidRPr="00066E76">
        <w:rPr>
          <w:rFonts w:ascii="Times New Roman" w:eastAsia="宋体" w:hAnsi="Times New Roman" w:cs="Times New Roman"/>
          <w:b/>
          <w:szCs w:val="20"/>
          <w:lang w:eastAsia="en-US"/>
        </w:rPr>
        <w:t xml:space="preserve">, </w:t>
      </w:r>
      <w:r w:rsidR="00066E76" w:rsidRPr="00066E76">
        <w:rPr>
          <w:rFonts w:ascii="Times New Roman" w:eastAsia="宋体" w:hAnsi="Times New Roman" w:cs="Times New Roman"/>
          <w:b/>
          <w:szCs w:val="20"/>
          <w:lang w:eastAsia="en-US"/>
        </w:rPr>
        <w:t>the information for RACH-less decision and RACH-less configuration can be</w:t>
      </w:r>
      <w:r w:rsidR="008B3039">
        <w:rPr>
          <w:rFonts w:ascii="Times New Roman" w:eastAsia="宋体" w:hAnsi="Times New Roman" w:cs="Times New Roman"/>
          <w:b/>
          <w:szCs w:val="20"/>
          <w:lang w:eastAsia="en-US"/>
        </w:rPr>
        <w:t xml:space="preserve"> supported by existing container IEs, which are</w:t>
      </w:r>
      <w:r w:rsidR="00066E76" w:rsidRPr="00066E76">
        <w:rPr>
          <w:rFonts w:ascii="Times New Roman" w:eastAsia="宋体" w:hAnsi="Times New Roman" w:cs="Times New Roman"/>
          <w:b/>
          <w:szCs w:val="20"/>
          <w:lang w:eastAsia="en-US"/>
        </w:rPr>
        <w:t xml:space="preserve"> defined by RAN2.</w:t>
      </w:r>
    </w:p>
    <w:p w14:paraId="70D6829B" w14:textId="77777777" w:rsidR="009167FE" w:rsidRPr="00066E76" w:rsidRDefault="009167FE" w:rsidP="009167FE">
      <w:pPr>
        <w:pStyle w:val="Doc-text2"/>
        <w:ind w:left="0" w:firstLine="0"/>
        <w:rPr>
          <w:rFonts w:ascii="Times New Roman" w:eastAsia="宋体" w:hAnsi="Times New Roman" w:cs="Times New Roman"/>
          <w:b/>
          <w:szCs w:val="20"/>
          <w:lang w:eastAsia="en-US"/>
        </w:rPr>
      </w:pPr>
    </w:p>
    <w:p w14:paraId="41B93318" w14:textId="17BA5C9C" w:rsidR="009167FE" w:rsidRDefault="009167FE" w:rsidP="008B3039">
      <w:pPr>
        <w:rPr>
          <w:b/>
        </w:rPr>
      </w:pPr>
      <w:r w:rsidRPr="00066E76">
        <w:rPr>
          <w:b/>
        </w:rPr>
        <w:t>Proposal</w:t>
      </w:r>
      <w:r w:rsidR="00F1480C">
        <w:rPr>
          <w:b/>
        </w:rPr>
        <w:t xml:space="preserve"> 5</w:t>
      </w:r>
      <w:r w:rsidRPr="00066E76">
        <w:rPr>
          <w:b/>
        </w:rPr>
        <w:t>, this is no RAN3 spec impact to support RACH-less handover.</w:t>
      </w:r>
    </w:p>
    <w:p w14:paraId="058C54CD" w14:textId="2D782293" w:rsidR="00CA6960" w:rsidRPr="00066E76" w:rsidRDefault="00CA6960" w:rsidP="008B3039">
      <w:pPr>
        <w:rPr>
          <w:b/>
        </w:rPr>
      </w:pPr>
      <w:r>
        <w:rPr>
          <w:b/>
        </w:rPr>
        <w:t>Proposal</w:t>
      </w:r>
      <w:r w:rsidR="00F1480C">
        <w:rPr>
          <w:b/>
        </w:rPr>
        <w:t xml:space="preserve"> 6</w:t>
      </w:r>
      <w:r>
        <w:rPr>
          <w:b/>
        </w:rPr>
        <w:t>, RAN3 thinks it’s feasible to support RACH-less handover without RAN3 specification impacts.</w:t>
      </w:r>
    </w:p>
    <w:p w14:paraId="172CF7F1" w14:textId="333084B9" w:rsidR="009167FE" w:rsidRDefault="009167FE" w:rsidP="009167FE">
      <w:pPr>
        <w:pStyle w:val="Doc-text2"/>
        <w:ind w:left="0" w:firstLine="0"/>
        <w:rPr>
          <w:rFonts w:ascii="Times New Roman" w:eastAsia="宋体" w:hAnsi="Times New Roman" w:cs="Times New Roman"/>
          <w:szCs w:val="20"/>
          <w:lang w:eastAsia="en-US"/>
        </w:rPr>
      </w:pPr>
    </w:p>
    <w:bookmarkEnd w:id="1"/>
    <w:p w14:paraId="0D110258" w14:textId="77777777" w:rsidR="00CD4C7B" w:rsidRPr="006E13D1" w:rsidRDefault="00972FD7" w:rsidP="00CD4C7B">
      <w:pPr>
        <w:pStyle w:val="1"/>
      </w:pPr>
      <w:r>
        <w:t>3</w:t>
      </w:r>
      <w:r w:rsidR="00CD4C7B" w:rsidRPr="006E13D1">
        <w:tab/>
      </w:r>
      <w:r>
        <w:t>Conclusion</w:t>
      </w:r>
    </w:p>
    <w:p w14:paraId="6093981F" w14:textId="7BC6C34F" w:rsidR="00CD4C7B" w:rsidRDefault="00402EAF" w:rsidP="00CD4C7B">
      <w:r>
        <w:t>In this contribution, w</w:t>
      </w:r>
      <w:r w:rsidR="00ED0D91">
        <w:t>e have made the following proposals:</w:t>
      </w:r>
    </w:p>
    <w:p w14:paraId="133FAC7B" w14:textId="0956C653" w:rsidR="00F1480C" w:rsidRDefault="00F1480C" w:rsidP="00CD4C7B">
      <w:pPr>
        <w:rPr>
          <w:b/>
          <w:i/>
          <w:u w:val="single"/>
        </w:rPr>
      </w:pPr>
      <w:r w:rsidRPr="00F1480C">
        <w:rPr>
          <w:b/>
          <w:i/>
          <w:u w:val="single"/>
        </w:rPr>
        <w:t>Dynamic TAC</w:t>
      </w:r>
    </w:p>
    <w:p w14:paraId="7529E4F7" w14:textId="77777777" w:rsidR="00F1480C" w:rsidRPr="0033697B" w:rsidRDefault="00F1480C" w:rsidP="00F1480C">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Observation</w:t>
      </w:r>
      <w:r>
        <w:rPr>
          <w:rFonts w:ascii="Times New Roman" w:eastAsia="宋体" w:hAnsi="Times New Roman" w:cs="Times New Roman"/>
          <w:b/>
          <w:szCs w:val="20"/>
          <w:lang w:eastAsia="en-US"/>
        </w:rPr>
        <w:t xml:space="preserve"> 1</w:t>
      </w:r>
      <w:r w:rsidRPr="0033697B">
        <w:rPr>
          <w:rFonts w:ascii="Times New Roman" w:eastAsia="宋体" w:hAnsi="Times New Roman" w:cs="Times New Roman"/>
          <w:b/>
          <w:szCs w:val="20"/>
          <w:lang w:eastAsia="en-US"/>
        </w:rPr>
        <w:t>, existing signalling already support dynamic TAC</w:t>
      </w:r>
      <w:r>
        <w:rPr>
          <w:rFonts w:ascii="Times New Roman" w:eastAsia="宋体" w:hAnsi="Times New Roman" w:cs="Times New Roman"/>
          <w:b/>
          <w:szCs w:val="20"/>
          <w:lang w:eastAsia="en-US"/>
        </w:rPr>
        <w:t xml:space="preserve"> in case the IAB-DU’s TAC </w:t>
      </w:r>
      <w:r w:rsidRPr="0036211E">
        <w:rPr>
          <w:rFonts w:ascii="Times New Roman" w:eastAsia="宋体" w:hAnsi="Times New Roman" w:cs="Times New Roman"/>
          <w:b/>
          <w:szCs w:val="20"/>
          <w:lang w:eastAsia="en-US"/>
        </w:rPr>
        <w:t xml:space="preserve">the same or a different value than the TAC of the </w:t>
      </w:r>
      <w:proofErr w:type="spellStart"/>
      <w:r w:rsidRPr="0036211E">
        <w:rPr>
          <w:rFonts w:ascii="Times New Roman" w:eastAsia="宋体" w:hAnsi="Times New Roman" w:cs="Times New Roman"/>
          <w:b/>
          <w:szCs w:val="20"/>
          <w:lang w:eastAsia="en-US"/>
        </w:rPr>
        <w:t>mIAB</w:t>
      </w:r>
      <w:proofErr w:type="spellEnd"/>
      <w:r w:rsidRPr="0036211E">
        <w:rPr>
          <w:rFonts w:ascii="Times New Roman" w:eastAsia="宋体" w:hAnsi="Times New Roman" w:cs="Times New Roman"/>
          <w:b/>
          <w:szCs w:val="20"/>
          <w:lang w:eastAsia="en-US"/>
        </w:rPr>
        <w:t>-MT’s serving cell</w:t>
      </w:r>
      <w:r w:rsidRPr="0033697B">
        <w:rPr>
          <w:rFonts w:ascii="Times New Roman" w:eastAsia="宋体" w:hAnsi="Times New Roman" w:cs="Times New Roman"/>
          <w:b/>
          <w:szCs w:val="20"/>
          <w:lang w:eastAsia="en-US"/>
        </w:rPr>
        <w:t xml:space="preserve">. </w:t>
      </w:r>
    </w:p>
    <w:p w14:paraId="6341BC48" w14:textId="77777777" w:rsidR="00F1480C" w:rsidRDefault="00F1480C" w:rsidP="00F1480C">
      <w:pPr>
        <w:pStyle w:val="Doc-text2"/>
        <w:spacing w:before="120" w:after="120"/>
        <w:ind w:left="0" w:firstLine="0"/>
        <w:rPr>
          <w:rFonts w:ascii="Times New Roman" w:eastAsia="宋体" w:hAnsi="Times New Roman" w:cs="Times New Roman"/>
          <w:b/>
          <w:szCs w:val="20"/>
          <w:lang w:eastAsia="en-US"/>
        </w:rPr>
      </w:pPr>
      <w:r w:rsidRPr="0033697B">
        <w:rPr>
          <w:rFonts w:ascii="Times New Roman" w:eastAsia="宋体" w:hAnsi="Times New Roman" w:cs="Times New Roman"/>
          <w:b/>
          <w:szCs w:val="20"/>
          <w:lang w:eastAsia="en-US"/>
        </w:rPr>
        <w:t xml:space="preserve">Proposal </w:t>
      </w:r>
      <w:r>
        <w:rPr>
          <w:rFonts w:ascii="Times New Roman" w:eastAsia="宋体" w:hAnsi="Times New Roman" w:cs="Times New Roman"/>
          <w:b/>
          <w:szCs w:val="20"/>
          <w:lang w:eastAsia="en-US"/>
        </w:rPr>
        <w:t>1</w:t>
      </w:r>
      <w:r w:rsidRPr="0033697B">
        <w:rPr>
          <w:rFonts w:ascii="Times New Roman" w:eastAsia="宋体" w:hAnsi="Times New Roman" w:cs="Times New Roman"/>
          <w:b/>
          <w:szCs w:val="20"/>
          <w:lang w:eastAsia="en-US"/>
        </w:rPr>
        <w:t>, RAN3 conclude</w:t>
      </w:r>
      <w:r>
        <w:rPr>
          <w:rFonts w:ascii="Times New Roman" w:eastAsia="宋体" w:hAnsi="Times New Roman" w:cs="Times New Roman"/>
          <w:b/>
          <w:szCs w:val="20"/>
          <w:lang w:eastAsia="en-US"/>
        </w:rPr>
        <w:t>s</w:t>
      </w:r>
      <w:r w:rsidRPr="0033697B">
        <w:rPr>
          <w:rFonts w:ascii="Times New Roman" w:eastAsia="宋体" w:hAnsi="Times New Roman" w:cs="Times New Roman"/>
          <w:b/>
          <w:szCs w:val="20"/>
          <w:lang w:eastAsia="en-US"/>
        </w:rPr>
        <w:t xml:space="preserve"> that there is no stage 3 specification work to support dynamic TAC from RAN3 perspective.</w:t>
      </w:r>
    </w:p>
    <w:p w14:paraId="33CAA89D" w14:textId="77777777" w:rsidR="00F1480C" w:rsidRPr="00F1480C" w:rsidRDefault="00F1480C" w:rsidP="00F1480C">
      <w:pPr>
        <w:widowControl w:val="0"/>
        <w:rPr>
          <w:rFonts w:eastAsia="MS Mincho"/>
          <w:b/>
          <w:i/>
          <w:u w:val="single"/>
          <w:lang w:eastAsia="en-GB"/>
        </w:rPr>
      </w:pPr>
      <w:r w:rsidRPr="00F1480C">
        <w:rPr>
          <w:rFonts w:eastAsia="MS Mincho"/>
          <w:b/>
          <w:i/>
          <w:u w:val="single"/>
          <w:lang w:eastAsia="en-GB"/>
        </w:rPr>
        <w:t>Group handover</w:t>
      </w:r>
    </w:p>
    <w:p w14:paraId="407B8265" w14:textId="77777777" w:rsidR="00F1480C" w:rsidRPr="001339EE" w:rsidRDefault="00F1480C" w:rsidP="00F1480C">
      <w:pPr>
        <w:widowControl w:val="0"/>
        <w:rPr>
          <w:rFonts w:eastAsia="MS Mincho"/>
          <w:b/>
          <w:lang w:eastAsia="en-GB"/>
        </w:rPr>
      </w:pPr>
      <w:r w:rsidRPr="001339EE">
        <w:rPr>
          <w:rFonts w:eastAsia="MS Mincho"/>
          <w:b/>
          <w:lang w:eastAsia="en-GB"/>
        </w:rPr>
        <w:t>Proposal</w:t>
      </w:r>
      <w:r>
        <w:rPr>
          <w:rFonts w:eastAsia="MS Mincho"/>
          <w:b/>
          <w:lang w:eastAsia="en-GB"/>
        </w:rPr>
        <w:t xml:space="preserve"> 2</w:t>
      </w:r>
      <w:r w:rsidRPr="001339EE">
        <w:rPr>
          <w:rFonts w:eastAsia="MS Mincho"/>
          <w:b/>
          <w:lang w:eastAsia="en-GB"/>
        </w:rPr>
        <w:t xml:space="preserve">, group </w:t>
      </w:r>
      <w:r>
        <w:rPr>
          <w:rFonts w:eastAsia="MS Mincho"/>
          <w:b/>
          <w:lang w:eastAsia="en-GB"/>
        </w:rPr>
        <w:t>handover</w:t>
      </w:r>
      <w:r w:rsidRPr="001339EE">
        <w:rPr>
          <w:rFonts w:eastAsia="MS Mincho"/>
          <w:b/>
          <w:lang w:eastAsia="en-GB"/>
        </w:rPr>
        <w:t xml:space="preserve"> is not supported in mobile IAB.</w:t>
      </w:r>
    </w:p>
    <w:p w14:paraId="1B7AD42C" w14:textId="77777777" w:rsidR="00F1480C" w:rsidRPr="00F1480C" w:rsidRDefault="00F1480C" w:rsidP="00F1480C">
      <w:pPr>
        <w:widowControl w:val="0"/>
        <w:rPr>
          <w:rFonts w:eastAsia="MS Mincho"/>
          <w:b/>
          <w:i/>
          <w:u w:val="single"/>
          <w:lang w:eastAsia="en-GB"/>
        </w:rPr>
      </w:pPr>
      <w:r w:rsidRPr="00F1480C">
        <w:rPr>
          <w:rFonts w:eastAsia="MS Mincho"/>
          <w:b/>
          <w:i/>
          <w:u w:val="single"/>
          <w:lang w:eastAsia="en-GB"/>
        </w:rPr>
        <w:t>Context sharing</w:t>
      </w:r>
    </w:p>
    <w:p w14:paraId="3B3AB9F3" w14:textId="07345DA0" w:rsidR="00F1480C" w:rsidRDefault="00F1480C" w:rsidP="00F1480C">
      <w:pPr>
        <w:rPr>
          <w:b/>
          <w:lang w:eastAsia="zh-CN"/>
        </w:rPr>
      </w:pPr>
      <w:r w:rsidRPr="0033697B">
        <w:rPr>
          <w:b/>
        </w:rPr>
        <w:t xml:space="preserve">Observation </w:t>
      </w:r>
      <w:r>
        <w:rPr>
          <w:b/>
        </w:rPr>
        <w:t>2</w:t>
      </w:r>
      <w:r w:rsidRPr="0033697B">
        <w:rPr>
          <w:b/>
        </w:rPr>
        <w:t xml:space="preserve">, </w:t>
      </w:r>
      <w:r w:rsidRPr="0033697B">
        <w:rPr>
          <w:rFonts w:hint="eastAsia"/>
          <w:b/>
          <w:lang w:eastAsia="zh-CN"/>
        </w:rPr>
        <w:t>the</w:t>
      </w:r>
      <w:r w:rsidRPr="0033697B">
        <w:rPr>
          <w:b/>
        </w:rPr>
        <w:t xml:space="preserve"> </w:t>
      </w:r>
      <w:r w:rsidRPr="0033697B">
        <w:rPr>
          <w:rFonts w:hint="eastAsia"/>
          <w:b/>
          <w:lang w:eastAsia="zh-CN"/>
        </w:rPr>
        <w:t>difference</w:t>
      </w:r>
      <w:r w:rsidRPr="0033697B">
        <w:rPr>
          <w:b/>
        </w:rPr>
        <w:t xml:space="preserve"> </w:t>
      </w:r>
      <w:r w:rsidRPr="0033697B">
        <w:rPr>
          <w:rFonts w:hint="eastAsia"/>
          <w:b/>
          <w:lang w:eastAsia="zh-CN"/>
        </w:rPr>
        <w:t>between</w:t>
      </w:r>
      <w:r w:rsidRPr="0033697B">
        <w:rPr>
          <w:b/>
        </w:rPr>
        <w:t xml:space="preserve"> </w:t>
      </w:r>
      <w:r w:rsidRPr="0033697B">
        <w:rPr>
          <w:rFonts w:hint="eastAsia"/>
          <w:b/>
          <w:lang w:eastAsia="zh-CN"/>
        </w:rPr>
        <w:t>legacy</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and</w:t>
      </w:r>
      <w:r w:rsidRPr="0033697B">
        <w:rPr>
          <w:b/>
        </w:rPr>
        <w:t xml:space="preserve"> UE </w:t>
      </w:r>
      <w:r w:rsidRPr="0033697B">
        <w:rPr>
          <w:rFonts w:hint="eastAsia"/>
          <w:b/>
          <w:lang w:eastAsia="zh-CN"/>
        </w:rPr>
        <w:t>handover</w:t>
      </w:r>
      <w:r w:rsidRPr="0033697B">
        <w:rPr>
          <w:b/>
        </w:rPr>
        <w:t xml:space="preserve"> </w:t>
      </w:r>
      <w:r w:rsidRPr="0033697B">
        <w:rPr>
          <w:rFonts w:hint="eastAsia"/>
          <w:b/>
          <w:lang w:eastAsia="zh-CN"/>
        </w:rPr>
        <w:t>in</w:t>
      </w:r>
      <w:r w:rsidRPr="0033697B">
        <w:rPr>
          <w:b/>
        </w:rPr>
        <w:t xml:space="preserve"> DU </w:t>
      </w:r>
      <w:r w:rsidRPr="0033697B">
        <w:rPr>
          <w:rFonts w:hint="eastAsia"/>
          <w:b/>
          <w:lang w:eastAsia="zh-CN"/>
        </w:rPr>
        <w:t>migration is</w:t>
      </w:r>
      <w:r w:rsidRPr="0033697B">
        <w:rPr>
          <w:b/>
          <w:lang w:eastAsia="zh-CN"/>
        </w:rPr>
        <w:t xml:space="preserve"> </w:t>
      </w:r>
      <w:r w:rsidRPr="0033697B">
        <w:rPr>
          <w:rFonts w:hint="eastAsia"/>
          <w:b/>
          <w:lang w:eastAsia="zh-CN"/>
        </w:rPr>
        <w:t>that</w:t>
      </w:r>
      <w:r w:rsidRPr="0033697B">
        <w:rPr>
          <w:b/>
          <w:lang w:eastAsia="zh-CN"/>
        </w:rPr>
        <w:t xml:space="preserve"> the source DU (i.e. IAB-DU1) </w:t>
      </w:r>
      <w:r>
        <w:rPr>
          <w:b/>
          <w:lang w:eastAsia="zh-CN"/>
        </w:rPr>
        <w:t>and the</w:t>
      </w:r>
      <w:r w:rsidRPr="0033697B">
        <w:rPr>
          <w:b/>
          <w:lang w:eastAsia="zh-CN"/>
        </w:rPr>
        <w:t xml:space="preserve"> target DU (i.e. IAB-DU2) </w:t>
      </w:r>
      <w:r>
        <w:rPr>
          <w:b/>
          <w:lang w:eastAsia="zh-CN"/>
        </w:rPr>
        <w:t>are physically co-located, they can share UE context and UE behaviour towards each other</w:t>
      </w:r>
      <w:r w:rsidRPr="0033697B">
        <w:rPr>
          <w:b/>
          <w:lang w:eastAsia="zh-CN"/>
        </w:rPr>
        <w:t>.</w:t>
      </w:r>
    </w:p>
    <w:p w14:paraId="56FC65B5" w14:textId="77777777" w:rsidR="00F1480C" w:rsidRDefault="00F1480C" w:rsidP="00F1480C">
      <w:pPr>
        <w:rPr>
          <w:b/>
        </w:rPr>
      </w:pPr>
      <w:r w:rsidRPr="0033697B">
        <w:rPr>
          <w:b/>
        </w:rPr>
        <w:t xml:space="preserve">Proposal </w:t>
      </w:r>
      <w:r>
        <w:rPr>
          <w:b/>
        </w:rPr>
        <w:t>3</w:t>
      </w:r>
      <w:r w:rsidRPr="0033697B">
        <w:rPr>
          <w:b/>
        </w:rPr>
        <w:t>, RAN3 agree</w:t>
      </w:r>
      <w:r>
        <w:rPr>
          <w:b/>
        </w:rPr>
        <w:t>s</w:t>
      </w:r>
      <w:r w:rsidRPr="0033697B">
        <w:rPr>
          <w:b/>
        </w:rPr>
        <w:t xml:space="preserve"> that </w:t>
      </w:r>
      <w:r>
        <w:rPr>
          <w:b/>
        </w:rPr>
        <w:t>the UE context setup in mIAB-DU2 can be triggered by the UE context modification procedure between source IAB-donor-CU and mIAB-DU1.</w:t>
      </w:r>
    </w:p>
    <w:p w14:paraId="5740E40E" w14:textId="661D1835" w:rsidR="00F1480C" w:rsidRPr="00F1480C" w:rsidRDefault="00F1480C" w:rsidP="00F1480C">
      <w:pPr>
        <w:rPr>
          <w:b/>
        </w:rPr>
      </w:pPr>
      <w:r>
        <w:rPr>
          <w:b/>
        </w:rPr>
        <w:t xml:space="preserve">Proposal 4, RAN3 agrees that </w:t>
      </w:r>
      <w:r w:rsidRPr="0033697B">
        <w:rPr>
          <w:b/>
        </w:rPr>
        <w:t xml:space="preserve">the </w:t>
      </w:r>
      <w:r>
        <w:rPr>
          <w:b/>
        </w:rPr>
        <w:t>m</w:t>
      </w:r>
      <w:r w:rsidRPr="0033697B">
        <w:rPr>
          <w:b/>
        </w:rPr>
        <w:t>IAB-DU1 can release the UE context by knowing the UE’s successful access to the IAB-DU2.</w:t>
      </w:r>
    </w:p>
    <w:p w14:paraId="6A9E05F4" w14:textId="31C48542" w:rsidR="00F1480C" w:rsidRPr="00F1480C" w:rsidRDefault="00F1480C" w:rsidP="00F1480C">
      <w:pPr>
        <w:widowControl w:val="0"/>
        <w:rPr>
          <w:rFonts w:eastAsia="MS Mincho"/>
          <w:b/>
          <w:i/>
          <w:u w:val="single"/>
          <w:lang w:eastAsia="en-GB"/>
        </w:rPr>
      </w:pPr>
      <w:r>
        <w:rPr>
          <w:rFonts w:eastAsia="MS Mincho"/>
          <w:b/>
          <w:i/>
          <w:u w:val="single"/>
          <w:lang w:eastAsia="en-GB"/>
        </w:rPr>
        <w:t>RACH-less</w:t>
      </w:r>
    </w:p>
    <w:p w14:paraId="22FB1715" w14:textId="77777777" w:rsidR="00F1480C" w:rsidRPr="00066E76" w:rsidRDefault="00F1480C" w:rsidP="00F1480C">
      <w:pPr>
        <w:pStyle w:val="Doc-text2"/>
        <w:ind w:left="0" w:firstLine="0"/>
        <w:rPr>
          <w:rFonts w:ascii="Times New Roman" w:eastAsia="宋体" w:hAnsi="Times New Roman" w:cs="Times New Roman"/>
          <w:b/>
          <w:szCs w:val="20"/>
          <w:lang w:eastAsia="en-US"/>
        </w:rPr>
      </w:pPr>
      <w:r w:rsidRPr="00066E76">
        <w:rPr>
          <w:rFonts w:ascii="Times New Roman" w:eastAsia="宋体" w:hAnsi="Times New Roman" w:cs="Times New Roman"/>
          <w:b/>
          <w:szCs w:val="20"/>
          <w:lang w:eastAsia="en-US"/>
        </w:rPr>
        <w:t>Observation</w:t>
      </w:r>
      <w:r>
        <w:rPr>
          <w:rFonts w:ascii="Times New Roman" w:eastAsia="宋体" w:hAnsi="Times New Roman" w:cs="Times New Roman"/>
          <w:b/>
          <w:szCs w:val="20"/>
          <w:lang w:eastAsia="en-US"/>
        </w:rPr>
        <w:t xml:space="preserve"> 3</w:t>
      </w:r>
      <w:r w:rsidRPr="00066E76">
        <w:rPr>
          <w:rFonts w:ascii="Times New Roman" w:eastAsia="宋体" w:hAnsi="Times New Roman" w:cs="Times New Roman"/>
          <w:b/>
          <w:szCs w:val="20"/>
          <w:lang w:eastAsia="en-US"/>
        </w:rPr>
        <w:t>, the information for RACH-less decision and RACH-less configuration can be</w:t>
      </w:r>
      <w:r>
        <w:rPr>
          <w:rFonts w:ascii="Times New Roman" w:eastAsia="宋体" w:hAnsi="Times New Roman" w:cs="Times New Roman"/>
          <w:b/>
          <w:szCs w:val="20"/>
          <w:lang w:eastAsia="en-US"/>
        </w:rPr>
        <w:t xml:space="preserve"> supported by existing container IEs, which are</w:t>
      </w:r>
      <w:r w:rsidRPr="00066E76">
        <w:rPr>
          <w:rFonts w:ascii="Times New Roman" w:eastAsia="宋体" w:hAnsi="Times New Roman" w:cs="Times New Roman"/>
          <w:b/>
          <w:szCs w:val="20"/>
          <w:lang w:eastAsia="en-US"/>
        </w:rPr>
        <w:t xml:space="preserve"> defined by RAN2.</w:t>
      </w:r>
    </w:p>
    <w:p w14:paraId="15B134EF" w14:textId="77777777" w:rsidR="00F1480C" w:rsidRPr="00066E76" w:rsidRDefault="00F1480C" w:rsidP="00F1480C">
      <w:pPr>
        <w:pStyle w:val="Doc-text2"/>
        <w:ind w:left="0" w:firstLine="0"/>
        <w:rPr>
          <w:rFonts w:ascii="Times New Roman" w:eastAsia="宋体" w:hAnsi="Times New Roman" w:cs="Times New Roman"/>
          <w:b/>
          <w:szCs w:val="20"/>
          <w:lang w:eastAsia="en-US"/>
        </w:rPr>
      </w:pPr>
    </w:p>
    <w:p w14:paraId="4A48600F" w14:textId="77777777" w:rsidR="00F1480C" w:rsidRDefault="00F1480C" w:rsidP="00F1480C">
      <w:pPr>
        <w:rPr>
          <w:b/>
        </w:rPr>
      </w:pPr>
      <w:r w:rsidRPr="00066E76">
        <w:rPr>
          <w:b/>
        </w:rPr>
        <w:t>Proposal</w:t>
      </w:r>
      <w:r>
        <w:rPr>
          <w:b/>
        </w:rPr>
        <w:t xml:space="preserve"> 5</w:t>
      </w:r>
      <w:r w:rsidRPr="00066E76">
        <w:rPr>
          <w:b/>
        </w:rPr>
        <w:t>, this is no RAN3 spec impact to support RACH-less handover.</w:t>
      </w:r>
    </w:p>
    <w:p w14:paraId="61032542" w14:textId="0DE0CA5C" w:rsidR="00F1480C" w:rsidRPr="00F1480C" w:rsidRDefault="00F1480C" w:rsidP="00CD4C7B">
      <w:pPr>
        <w:rPr>
          <w:b/>
        </w:rPr>
      </w:pPr>
      <w:r>
        <w:rPr>
          <w:b/>
        </w:rPr>
        <w:t>Proposal 6, RAN3 thinks it’s feasible to support RACH-less handover without RAN3 specification impacts.</w:t>
      </w:r>
    </w:p>
    <w:p w14:paraId="193FD945" w14:textId="41EEED5D" w:rsidR="00CD4C7B" w:rsidRPr="006E13D1" w:rsidRDefault="00342065" w:rsidP="00CD4C7B">
      <w:pPr>
        <w:pStyle w:val="1"/>
      </w:pPr>
      <w:r>
        <w:t>4</w:t>
      </w:r>
      <w:r>
        <w:tab/>
      </w:r>
      <w:r w:rsidR="00CD4C7B" w:rsidRPr="006E13D1">
        <w:t>References</w:t>
      </w:r>
    </w:p>
    <w:p w14:paraId="1F2287D2" w14:textId="1282B351" w:rsidR="001207F2" w:rsidRDefault="001207F2" w:rsidP="001207F2">
      <w:pPr>
        <w:overflowPunct w:val="0"/>
        <w:autoSpaceDE w:val="0"/>
        <w:autoSpaceDN w:val="0"/>
        <w:adjustRightInd w:val="0"/>
        <w:ind w:left="567" w:hanging="567"/>
        <w:textAlignment w:val="baseline"/>
      </w:pPr>
      <w:r>
        <w:rPr>
          <w:rFonts w:hint="eastAsia"/>
          <w:lang w:eastAsia="zh-CN"/>
        </w:rPr>
        <w:t>[</w:t>
      </w:r>
      <w:r>
        <w:rPr>
          <w:lang w:eastAsia="zh-CN"/>
        </w:rPr>
        <w:t>1]</w:t>
      </w:r>
      <w:r w:rsidRPr="00E36347">
        <w:t xml:space="preserve"> </w:t>
      </w:r>
      <w:r w:rsidRPr="00E36347">
        <w:rPr>
          <w:lang w:eastAsia="zh-CN"/>
        </w:rPr>
        <w:t>R2-2306817 LS on UE RACH-less handover for mobile IAB</w:t>
      </w:r>
      <w:r>
        <w:rPr>
          <w:lang w:eastAsia="zh-CN"/>
        </w:rPr>
        <w:t>, RAN2</w:t>
      </w:r>
    </w:p>
    <w:p w14:paraId="0BA2BD6A" w14:textId="424517C4"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ADA52" w14:textId="77777777" w:rsidR="00437EAD" w:rsidRDefault="00437EAD">
      <w:r>
        <w:separator/>
      </w:r>
    </w:p>
  </w:endnote>
  <w:endnote w:type="continuationSeparator" w:id="0">
    <w:p w14:paraId="6F8EFB82" w14:textId="77777777" w:rsidR="00437EAD" w:rsidRDefault="00437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B5CC" w14:textId="77777777" w:rsidR="00437EAD" w:rsidRDefault="00437EAD">
      <w:r>
        <w:separator/>
      </w:r>
    </w:p>
  </w:footnote>
  <w:footnote w:type="continuationSeparator" w:id="0">
    <w:p w14:paraId="52B5F15E" w14:textId="77777777" w:rsidR="00437EAD" w:rsidRDefault="00437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33312"/>
    <w:multiLevelType w:val="hybridMultilevel"/>
    <w:tmpl w:val="6E7CFEE6"/>
    <w:lvl w:ilvl="0" w:tplc="89424C4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124F4"/>
    <w:multiLevelType w:val="hybridMultilevel"/>
    <w:tmpl w:val="D86ADF86"/>
    <w:lvl w:ilvl="0" w:tplc="666A869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E0A6D"/>
    <w:multiLevelType w:val="hybridMultilevel"/>
    <w:tmpl w:val="E378F186"/>
    <w:lvl w:ilvl="0" w:tplc="256618F6">
      <w:start w:val="2"/>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1E682D7F"/>
    <w:multiLevelType w:val="hybridMultilevel"/>
    <w:tmpl w:val="A42E229C"/>
    <w:lvl w:ilvl="0" w:tplc="A98852A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422BE"/>
    <w:multiLevelType w:val="hybridMultilevel"/>
    <w:tmpl w:val="7C460C1E"/>
    <w:lvl w:ilvl="0" w:tplc="BFAEE64C">
      <w:numFmt w:val="bullet"/>
      <w:lvlText w:val="-"/>
      <w:lvlJc w:val="left"/>
      <w:pPr>
        <w:ind w:left="1080" w:hanging="360"/>
      </w:pPr>
      <w:rPr>
        <w:rFonts w:ascii="Calibri" w:eastAsia="宋体"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5459DC"/>
    <w:multiLevelType w:val="hybridMultilevel"/>
    <w:tmpl w:val="F18AF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101C3F"/>
    <w:multiLevelType w:val="hybridMultilevel"/>
    <w:tmpl w:val="5A48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5926FD"/>
    <w:multiLevelType w:val="hybridMultilevel"/>
    <w:tmpl w:val="ECB681EA"/>
    <w:lvl w:ilvl="0" w:tplc="1B32932E">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B5E56"/>
    <w:multiLevelType w:val="hybridMultilevel"/>
    <w:tmpl w:val="2B3ACADA"/>
    <w:lvl w:ilvl="0" w:tplc="9088137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96CE8"/>
    <w:multiLevelType w:val="hybridMultilevel"/>
    <w:tmpl w:val="456EF9EA"/>
    <w:lvl w:ilvl="0" w:tplc="E6A4DD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5B5DBA"/>
    <w:multiLevelType w:val="hybridMultilevel"/>
    <w:tmpl w:val="F942FD48"/>
    <w:lvl w:ilvl="0" w:tplc="7B58527C">
      <w:start w:val="2022"/>
      <w:numFmt w:val="bullet"/>
      <w:lvlText w:val="-"/>
      <w:lvlJc w:val="left"/>
      <w:pPr>
        <w:ind w:left="630" w:hanging="360"/>
      </w:pPr>
      <w:rPr>
        <w:rFonts w:ascii="Times New Roman" w:eastAsia="MS Mincho"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2"/>
  </w:num>
  <w:num w:numId="6">
    <w:abstractNumId w:val="11"/>
  </w:num>
  <w:num w:numId="7">
    <w:abstractNumId w:val="18"/>
  </w:num>
  <w:num w:numId="8">
    <w:abstractNumId w:val="19"/>
  </w:num>
  <w:num w:numId="9">
    <w:abstractNumId w:val="14"/>
  </w:num>
  <w:num w:numId="10">
    <w:abstractNumId w:val="17"/>
  </w:num>
  <w:num w:numId="11">
    <w:abstractNumId w:val="6"/>
  </w:num>
  <w:num w:numId="12">
    <w:abstractNumId w:val="16"/>
  </w:num>
  <w:num w:numId="13">
    <w:abstractNumId w:val="15"/>
  </w:num>
  <w:num w:numId="14">
    <w:abstractNumId w:val="24"/>
  </w:num>
  <w:num w:numId="15">
    <w:abstractNumId w:val="3"/>
  </w:num>
  <w:num w:numId="16">
    <w:abstractNumId w:val="12"/>
  </w:num>
  <w:num w:numId="17">
    <w:abstractNumId w:val="8"/>
  </w:num>
  <w:num w:numId="18">
    <w:abstractNumId w:val="2"/>
  </w:num>
  <w:num w:numId="19">
    <w:abstractNumId w:val="4"/>
  </w:num>
  <w:num w:numId="20">
    <w:abstractNumId w:val="21"/>
  </w:num>
  <w:num w:numId="21">
    <w:abstractNumId w:val="5"/>
  </w:num>
  <w:num w:numId="22">
    <w:abstractNumId w:val="25"/>
  </w:num>
  <w:num w:numId="23">
    <w:abstractNumId w:val="13"/>
  </w:num>
  <w:num w:numId="24">
    <w:abstractNumId w:val="23"/>
  </w:num>
  <w:num w:numId="25">
    <w:abstractNumId w:val="23"/>
  </w:num>
  <w:num w:numId="26">
    <w:abstractNumId w:val="20"/>
  </w:num>
  <w:num w:numId="27">
    <w:abstractNumId w:val="9"/>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52E7"/>
    <w:rsid w:val="000120B7"/>
    <w:rsid w:val="00021025"/>
    <w:rsid w:val="00033397"/>
    <w:rsid w:val="000342C7"/>
    <w:rsid w:val="0003796B"/>
    <w:rsid w:val="00040095"/>
    <w:rsid w:val="00052035"/>
    <w:rsid w:val="0005563E"/>
    <w:rsid w:val="00062604"/>
    <w:rsid w:val="00062F03"/>
    <w:rsid w:val="00066E76"/>
    <w:rsid w:val="00080512"/>
    <w:rsid w:val="00083F0D"/>
    <w:rsid w:val="00085143"/>
    <w:rsid w:val="000904E9"/>
    <w:rsid w:val="000B7BCF"/>
    <w:rsid w:val="000C1506"/>
    <w:rsid w:val="000C556D"/>
    <w:rsid w:val="000D376D"/>
    <w:rsid w:val="000D58AB"/>
    <w:rsid w:val="000F0733"/>
    <w:rsid w:val="000F1DB2"/>
    <w:rsid w:val="001075B7"/>
    <w:rsid w:val="001207F2"/>
    <w:rsid w:val="001265F8"/>
    <w:rsid w:val="0013213A"/>
    <w:rsid w:val="0013262A"/>
    <w:rsid w:val="001339EE"/>
    <w:rsid w:val="001370F2"/>
    <w:rsid w:val="001549DD"/>
    <w:rsid w:val="00155FF2"/>
    <w:rsid w:val="00171C2B"/>
    <w:rsid w:val="0017527C"/>
    <w:rsid w:val="001834CC"/>
    <w:rsid w:val="00190CAC"/>
    <w:rsid w:val="00194CD0"/>
    <w:rsid w:val="00195C98"/>
    <w:rsid w:val="001B08B3"/>
    <w:rsid w:val="001B7EB4"/>
    <w:rsid w:val="001C1387"/>
    <w:rsid w:val="001C4281"/>
    <w:rsid w:val="001D0D3F"/>
    <w:rsid w:val="001D77D4"/>
    <w:rsid w:val="001E39D1"/>
    <w:rsid w:val="001E6294"/>
    <w:rsid w:val="001F168B"/>
    <w:rsid w:val="001F4A77"/>
    <w:rsid w:val="001F4FE5"/>
    <w:rsid w:val="001F70B7"/>
    <w:rsid w:val="00225F6D"/>
    <w:rsid w:val="0022606D"/>
    <w:rsid w:val="002305DD"/>
    <w:rsid w:val="00243BC7"/>
    <w:rsid w:val="00244585"/>
    <w:rsid w:val="00250D89"/>
    <w:rsid w:val="00252FFD"/>
    <w:rsid w:val="002546FB"/>
    <w:rsid w:val="002623FC"/>
    <w:rsid w:val="00274277"/>
    <w:rsid w:val="002747EC"/>
    <w:rsid w:val="002855BF"/>
    <w:rsid w:val="002868BC"/>
    <w:rsid w:val="002953B2"/>
    <w:rsid w:val="002A19F2"/>
    <w:rsid w:val="002A5A81"/>
    <w:rsid w:val="002C4F5C"/>
    <w:rsid w:val="002D4676"/>
    <w:rsid w:val="002D4F88"/>
    <w:rsid w:val="002E1692"/>
    <w:rsid w:val="002E67D2"/>
    <w:rsid w:val="002F0D22"/>
    <w:rsid w:val="002F2CE8"/>
    <w:rsid w:val="002F5942"/>
    <w:rsid w:val="003055C7"/>
    <w:rsid w:val="003172DC"/>
    <w:rsid w:val="003238E8"/>
    <w:rsid w:val="00326069"/>
    <w:rsid w:val="0032608A"/>
    <w:rsid w:val="0033697B"/>
    <w:rsid w:val="00342065"/>
    <w:rsid w:val="003454FC"/>
    <w:rsid w:val="00353B12"/>
    <w:rsid w:val="0035462D"/>
    <w:rsid w:val="0036211E"/>
    <w:rsid w:val="00363177"/>
    <w:rsid w:val="0036587F"/>
    <w:rsid w:val="00366621"/>
    <w:rsid w:val="003702F7"/>
    <w:rsid w:val="00370F20"/>
    <w:rsid w:val="003717A7"/>
    <w:rsid w:val="00373A2D"/>
    <w:rsid w:val="00376D28"/>
    <w:rsid w:val="00385F81"/>
    <w:rsid w:val="00391022"/>
    <w:rsid w:val="003B3FB3"/>
    <w:rsid w:val="003B5FD6"/>
    <w:rsid w:val="003C4E37"/>
    <w:rsid w:val="003E1194"/>
    <w:rsid w:val="003E16BE"/>
    <w:rsid w:val="003E7223"/>
    <w:rsid w:val="00401855"/>
    <w:rsid w:val="00401D6C"/>
    <w:rsid w:val="00402EAF"/>
    <w:rsid w:val="00406760"/>
    <w:rsid w:val="00422ADB"/>
    <w:rsid w:val="00426394"/>
    <w:rsid w:val="00434A83"/>
    <w:rsid w:val="00437EAD"/>
    <w:rsid w:val="00441022"/>
    <w:rsid w:val="00455983"/>
    <w:rsid w:val="00464695"/>
    <w:rsid w:val="00493C47"/>
    <w:rsid w:val="004C53DC"/>
    <w:rsid w:val="004C5539"/>
    <w:rsid w:val="004D3578"/>
    <w:rsid w:val="004D380D"/>
    <w:rsid w:val="004D3B71"/>
    <w:rsid w:val="004D3F58"/>
    <w:rsid w:val="004D5E47"/>
    <w:rsid w:val="004D75F7"/>
    <w:rsid w:val="004E0173"/>
    <w:rsid w:val="004E213A"/>
    <w:rsid w:val="004E21FC"/>
    <w:rsid w:val="004E6C01"/>
    <w:rsid w:val="00503171"/>
    <w:rsid w:val="005153FE"/>
    <w:rsid w:val="00516A56"/>
    <w:rsid w:val="005210A7"/>
    <w:rsid w:val="005240A4"/>
    <w:rsid w:val="00531C12"/>
    <w:rsid w:val="00534DA0"/>
    <w:rsid w:val="005361A0"/>
    <w:rsid w:val="00540B31"/>
    <w:rsid w:val="00543E6C"/>
    <w:rsid w:val="00544635"/>
    <w:rsid w:val="0055222C"/>
    <w:rsid w:val="0055707E"/>
    <w:rsid w:val="00557E1D"/>
    <w:rsid w:val="005626DD"/>
    <w:rsid w:val="00565087"/>
    <w:rsid w:val="0056573F"/>
    <w:rsid w:val="00565BE9"/>
    <w:rsid w:val="00571CE2"/>
    <w:rsid w:val="0057579F"/>
    <w:rsid w:val="00587958"/>
    <w:rsid w:val="00587DED"/>
    <w:rsid w:val="00590486"/>
    <w:rsid w:val="00593EDF"/>
    <w:rsid w:val="005A4971"/>
    <w:rsid w:val="005B1232"/>
    <w:rsid w:val="005B2EEF"/>
    <w:rsid w:val="005C524F"/>
    <w:rsid w:val="005D0F3B"/>
    <w:rsid w:val="005D4274"/>
    <w:rsid w:val="005E3C56"/>
    <w:rsid w:val="005E60CC"/>
    <w:rsid w:val="005F1BD4"/>
    <w:rsid w:val="005F345E"/>
    <w:rsid w:val="005F6DE2"/>
    <w:rsid w:val="00604F01"/>
    <w:rsid w:val="00605E3E"/>
    <w:rsid w:val="00606DA9"/>
    <w:rsid w:val="00611566"/>
    <w:rsid w:val="00611D47"/>
    <w:rsid w:val="00617F58"/>
    <w:rsid w:val="0062736F"/>
    <w:rsid w:val="006327AD"/>
    <w:rsid w:val="0065074F"/>
    <w:rsid w:val="006538D4"/>
    <w:rsid w:val="00656E1E"/>
    <w:rsid w:val="006604E4"/>
    <w:rsid w:val="00673F8A"/>
    <w:rsid w:val="0067782C"/>
    <w:rsid w:val="00693037"/>
    <w:rsid w:val="00697E26"/>
    <w:rsid w:val="006B36A5"/>
    <w:rsid w:val="006B3E5D"/>
    <w:rsid w:val="006C54B5"/>
    <w:rsid w:val="006D1E24"/>
    <w:rsid w:val="00702BDF"/>
    <w:rsid w:val="00727EEA"/>
    <w:rsid w:val="007304F5"/>
    <w:rsid w:val="00730BF3"/>
    <w:rsid w:val="00734A5B"/>
    <w:rsid w:val="00741EC5"/>
    <w:rsid w:val="00743525"/>
    <w:rsid w:val="00744E76"/>
    <w:rsid w:val="007476DB"/>
    <w:rsid w:val="00754AA5"/>
    <w:rsid w:val="00756B13"/>
    <w:rsid w:val="00757D40"/>
    <w:rsid w:val="00763628"/>
    <w:rsid w:val="00767CDA"/>
    <w:rsid w:val="0077054F"/>
    <w:rsid w:val="00774846"/>
    <w:rsid w:val="00776271"/>
    <w:rsid w:val="00781F0F"/>
    <w:rsid w:val="0078727C"/>
    <w:rsid w:val="00797225"/>
    <w:rsid w:val="00797D4B"/>
    <w:rsid w:val="007C095F"/>
    <w:rsid w:val="007C36EF"/>
    <w:rsid w:val="007C4EA9"/>
    <w:rsid w:val="007D321F"/>
    <w:rsid w:val="007D434E"/>
    <w:rsid w:val="007D5902"/>
    <w:rsid w:val="007E0464"/>
    <w:rsid w:val="007E1F12"/>
    <w:rsid w:val="007E4746"/>
    <w:rsid w:val="007F2676"/>
    <w:rsid w:val="007F3B6B"/>
    <w:rsid w:val="007F3F5F"/>
    <w:rsid w:val="007F6177"/>
    <w:rsid w:val="008001D5"/>
    <w:rsid w:val="00802106"/>
    <w:rsid w:val="008028A4"/>
    <w:rsid w:val="00803FA8"/>
    <w:rsid w:val="00806520"/>
    <w:rsid w:val="008121A3"/>
    <w:rsid w:val="0081323E"/>
    <w:rsid w:val="008223CA"/>
    <w:rsid w:val="00822537"/>
    <w:rsid w:val="00830106"/>
    <w:rsid w:val="00840916"/>
    <w:rsid w:val="008415DA"/>
    <w:rsid w:val="00842ABD"/>
    <w:rsid w:val="00853EDD"/>
    <w:rsid w:val="00854174"/>
    <w:rsid w:val="008604EE"/>
    <w:rsid w:val="00865B05"/>
    <w:rsid w:val="0087401D"/>
    <w:rsid w:val="00874AD3"/>
    <w:rsid w:val="008768CA"/>
    <w:rsid w:val="00877B02"/>
    <w:rsid w:val="00880559"/>
    <w:rsid w:val="00886DF6"/>
    <w:rsid w:val="008975A9"/>
    <w:rsid w:val="008A79DE"/>
    <w:rsid w:val="008B3039"/>
    <w:rsid w:val="008B7DC7"/>
    <w:rsid w:val="008C0CA2"/>
    <w:rsid w:val="008C2420"/>
    <w:rsid w:val="008C2835"/>
    <w:rsid w:val="008C490B"/>
    <w:rsid w:val="008D799A"/>
    <w:rsid w:val="0090271F"/>
    <w:rsid w:val="00903D8C"/>
    <w:rsid w:val="00904D26"/>
    <w:rsid w:val="009167FE"/>
    <w:rsid w:val="00917051"/>
    <w:rsid w:val="00917D1E"/>
    <w:rsid w:val="009321BB"/>
    <w:rsid w:val="00942EC2"/>
    <w:rsid w:val="00943B23"/>
    <w:rsid w:val="00952D8F"/>
    <w:rsid w:val="00954BCB"/>
    <w:rsid w:val="00961B32"/>
    <w:rsid w:val="00962CC8"/>
    <w:rsid w:val="00971683"/>
    <w:rsid w:val="00971F47"/>
    <w:rsid w:val="00972FD7"/>
    <w:rsid w:val="00974BB0"/>
    <w:rsid w:val="00981325"/>
    <w:rsid w:val="009864E7"/>
    <w:rsid w:val="009932F2"/>
    <w:rsid w:val="009A6E4F"/>
    <w:rsid w:val="009B36EB"/>
    <w:rsid w:val="009B4F59"/>
    <w:rsid w:val="009C4046"/>
    <w:rsid w:val="009C4D5C"/>
    <w:rsid w:val="009D0A28"/>
    <w:rsid w:val="009D39E8"/>
    <w:rsid w:val="009F3B54"/>
    <w:rsid w:val="009F75AB"/>
    <w:rsid w:val="009F7E6E"/>
    <w:rsid w:val="00A10F02"/>
    <w:rsid w:val="00A13F7D"/>
    <w:rsid w:val="00A2199E"/>
    <w:rsid w:val="00A3295B"/>
    <w:rsid w:val="00A4298B"/>
    <w:rsid w:val="00A53724"/>
    <w:rsid w:val="00A61FEF"/>
    <w:rsid w:val="00A642D7"/>
    <w:rsid w:val="00A64C87"/>
    <w:rsid w:val="00A757D7"/>
    <w:rsid w:val="00A80B02"/>
    <w:rsid w:val="00A82346"/>
    <w:rsid w:val="00A8361A"/>
    <w:rsid w:val="00A9231A"/>
    <w:rsid w:val="00A9671C"/>
    <w:rsid w:val="00AA4B16"/>
    <w:rsid w:val="00AB1A46"/>
    <w:rsid w:val="00AB6AAB"/>
    <w:rsid w:val="00AD4BCF"/>
    <w:rsid w:val="00AF4A8E"/>
    <w:rsid w:val="00AF78D5"/>
    <w:rsid w:val="00B03810"/>
    <w:rsid w:val="00B1063A"/>
    <w:rsid w:val="00B15449"/>
    <w:rsid w:val="00B2047F"/>
    <w:rsid w:val="00B41851"/>
    <w:rsid w:val="00B42422"/>
    <w:rsid w:val="00B503D9"/>
    <w:rsid w:val="00B521D0"/>
    <w:rsid w:val="00B6745D"/>
    <w:rsid w:val="00B71EA5"/>
    <w:rsid w:val="00B96161"/>
    <w:rsid w:val="00B9781E"/>
    <w:rsid w:val="00BA0CF6"/>
    <w:rsid w:val="00BA311B"/>
    <w:rsid w:val="00BA6755"/>
    <w:rsid w:val="00BA71FF"/>
    <w:rsid w:val="00BB1499"/>
    <w:rsid w:val="00BC3B22"/>
    <w:rsid w:val="00BD5F05"/>
    <w:rsid w:val="00BE3EDD"/>
    <w:rsid w:val="00BE520D"/>
    <w:rsid w:val="00BF3D1C"/>
    <w:rsid w:val="00BF79F1"/>
    <w:rsid w:val="00C03035"/>
    <w:rsid w:val="00C275BC"/>
    <w:rsid w:val="00C33079"/>
    <w:rsid w:val="00C365F1"/>
    <w:rsid w:val="00C43B31"/>
    <w:rsid w:val="00C44740"/>
    <w:rsid w:val="00C50536"/>
    <w:rsid w:val="00C540F1"/>
    <w:rsid w:val="00C55EB7"/>
    <w:rsid w:val="00C605E7"/>
    <w:rsid w:val="00C6148F"/>
    <w:rsid w:val="00C805B8"/>
    <w:rsid w:val="00C80DBF"/>
    <w:rsid w:val="00C866E9"/>
    <w:rsid w:val="00C92571"/>
    <w:rsid w:val="00CA276C"/>
    <w:rsid w:val="00CA3D0C"/>
    <w:rsid w:val="00CA6960"/>
    <w:rsid w:val="00CB6651"/>
    <w:rsid w:val="00CB6887"/>
    <w:rsid w:val="00CC64B4"/>
    <w:rsid w:val="00CD161C"/>
    <w:rsid w:val="00CD41C2"/>
    <w:rsid w:val="00CD4C7B"/>
    <w:rsid w:val="00CE29A5"/>
    <w:rsid w:val="00CF0575"/>
    <w:rsid w:val="00CF1797"/>
    <w:rsid w:val="00D10E97"/>
    <w:rsid w:val="00D15640"/>
    <w:rsid w:val="00D22038"/>
    <w:rsid w:val="00D23014"/>
    <w:rsid w:val="00D45717"/>
    <w:rsid w:val="00D47215"/>
    <w:rsid w:val="00D71B75"/>
    <w:rsid w:val="00D738D6"/>
    <w:rsid w:val="00D764AE"/>
    <w:rsid w:val="00D80795"/>
    <w:rsid w:val="00D80BE8"/>
    <w:rsid w:val="00D82770"/>
    <w:rsid w:val="00D87E00"/>
    <w:rsid w:val="00D908B4"/>
    <w:rsid w:val="00D90D48"/>
    <w:rsid w:val="00D9134D"/>
    <w:rsid w:val="00D97CD9"/>
    <w:rsid w:val="00DA1CA9"/>
    <w:rsid w:val="00DA4CB1"/>
    <w:rsid w:val="00DA5329"/>
    <w:rsid w:val="00DA7A03"/>
    <w:rsid w:val="00DB1818"/>
    <w:rsid w:val="00DC1445"/>
    <w:rsid w:val="00DC309B"/>
    <w:rsid w:val="00DC4DA2"/>
    <w:rsid w:val="00DD7028"/>
    <w:rsid w:val="00DE1406"/>
    <w:rsid w:val="00DE532C"/>
    <w:rsid w:val="00DF6BDE"/>
    <w:rsid w:val="00E0084C"/>
    <w:rsid w:val="00E07838"/>
    <w:rsid w:val="00E23A30"/>
    <w:rsid w:val="00E305A4"/>
    <w:rsid w:val="00E340BC"/>
    <w:rsid w:val="00E469E6"/>
    <w:rsid w:val="00E51135"/>
    <w:rsid w:val="00E51F8B"/>
    <w:rsid w:val="00E6028F"/>
    <w:rsid w:val="00E62835"/>
    <w:rsid w:val="00E77645"/>
    <w:rsid w:val="00E852FF"/>
    <w:rsid w:val="00E90ABE"/>
    <w:rsid w:val="00EA1D56"/>
    <w:rsid w:val="00EA22F8"/>
    <w:rsid w:val="00EA38C0"/>
    <w:rsid w:val="00EB4857"/>
    <w:rsid w:val="00EC2F2F"/>
    <w:rsid w:val="00EC4A25"/>
    <w:rsid w:val="00ED0D91"/>
    <w:rsid w:val="00ED1751"/>
    <w:rsid w:val="00ED7F72"/>
    <w:rsid w:val="00EE022B"/>
    <w:rsid w:val="00EE0A1E"/>
    <w:rsid w:val="00EF2DFA"/>
    <w:rsid w:val="00F025A2"/>
    <w:rsid w:val="00F1480C"/>
    <w:rsid w:val="00F14DCE"/>
    <w:rsid w:val="00F15D36"/>
    <w:rsid w:val="00F2026E"/>
    <w:rsid w:val="00F2210A"/>
    <w:rsid w:val="00F35EC1"/>
    <w:rsid w:val="00F37743"/>
    <w:rsid w:val="00F54114"/>
    <w:rsid w:val="00F54A3D"/>
    <w:rsid w:val="00F60FCC"/>
    <w:rsid w:val="00F61F76"/>
    <w:rsid w:val="00F653B8"/>
    <w:rsid w:val="00F6620F"/>
    <w:rsid w:val="00F76F8F"/>
    <w:rsid w:val="00F8380A"/>
    <w:rsid w:val="00F84F48"/>
    <w:rsid w:val="00FA116A"/>
    <w:rsid w:val="00FA1266"/>
    <w:rsid w:val="00FA2068"/>
    <w:rsid w:val="00FB2BEA"/>
    <w:rsid w:val="00FC1192"/>
    <w:rsid w:val="00FC53BF"/>
    <w:rsid w:val="00FC6713"/>
    <w:rsid w:val="00FF2F2C"/>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character" w:customStyle="1" w:styleId="CRCoverPageZchn">
    <w:name w:val="CR Cover Page Zchn"/>
    <w:link w:val="CRCoverPage"/>
    <w:qFormat/>
    <w:rsid w:val="00422ADB"/>
    <w:rPr>
      <w:rFonts w:ascii="Arial" w:eastAsia="MS Mincho" w:hAnsi="Arial"/>
      <w:lang w:val="en-GB" w:eastAsia="en-US"/>
    </w:rPr>
  </w:style>
  <w:style w:type="character" w:customStyle="1" w:styleId="Doc-text2Char">
    <w:name w:val="Doc-text2 Char"/>
    <w:link w:val="Doc-text2"/>
    <w:qFormat/>
    <w:locked/>
    <w:rsid w:val="007D321F"/>
    <w:rPr>
      <w:rFonts w:ascii="Arial" w:eastAsia="MS Mincho" w:hAnsi="Arial" w:cs="Arial"/>
      <w:szCs w:val="24"/>
      <w:lang w:val="en-GB" w:eastAsia="en-GB"/>
    </w:rPr>
  </w:style>
  <w:style w:type="paragraph" w:customStyle="1" w:styleId="Doc-text2">
    <w:name w:val="Doc-text2"/>
    <w:basedOn w:val="a"/>
    <w:link w:val="Doc-text2Char"/>
    <w:qFormat/>
    <w:rsid w:val="007D321F"/>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7D321F"/>
    <w:pPr>
      <w:numPr>
        <w:numId w:val="20"/>
      </w:numPr>
      <w:spacing w:before="60" w:after="0"/>
    </w:pPr>
    <w:rPr>
      <w:rFonts w:ascii="Arial" w:eastAsia="MS Mincho" w:hAnsi="Arial"/>
      <w:b/>
      <w:szCs w:val="24"/>
      <w:lang w:eastAsia="en-GB"/>
    </w:rPr>
  </w:style>
  <w:style w:type="character" w:customStyle="1" w:styleId="EditorsNoteChar">
    <w:name w:val="Editor's Note Char"/>
    <w:aliases w:val="EN Char"/>
    <w:link w:val="EditorsNote"/>
    <w:locked/>
    <w:rsid w:val="00A757D7"/>
    <w:rPr>
      <w:color w:val="FF0000"/>
      <w:lang w:val="en-GB" w:eastAsia="en-US"/>
    </w:rPr>
  </w:style>
  <w:style w:type="character" w:customStyle="1" w:styleId="B1Char1">
    <w:name w:val="B1 Char1"/>
    <w:rsid w:val="00A757D7"/>
    <w:rPr>
      <w:lang w:val="en-GB" w:eastAsia="en-GB"/>
    </w:rPr>
  </w:style>
  <w:style w:type="paragraph" w:styleId="ac">
    <w:name w:val="caption"/>
    <w:basedOn w:val="a"/>
    <w:next w:val="a"/>
    <w:unhideWhenUsed/>
    <w:qFormat/>
    <w:rsid w:val="00441022"/>
    <w:pPr>
      <w:spacing w:after="200"/>
    </w:pPr>
    <w:rPr>
      <w:i/>
      <w:iCs/>
      <w:color w:val="44546A" w:themeColor="text2"/>
      <w:sz w:val="18"/>
      <w:szCs w:val="18"/>
    </w:rPr>
  </w:style>
  <w:style w:type="character" w:customStyle="1" w:styleId="15">
    <w:name w:val="15"/>
    <w:rsid w:val="00376D28"/>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6919">
      <w:bodyDiv w:val="1"/>
      <w:marLeft w:val="0"/>
      <w:marRight w:val="0"/>
      <w:marTop w:val="0"/>
      <w:marBottom w:val="0"/>
      <w:divBdr>
        <w:top w:val="none" w:sz="0" w:space="0" w:color="auto"/>
        <w:left w:val="none" w:sz="0" w:space="0" w:color="auto"/>
        <w:bottom w:val="none" w:sz="0" w:space="0" w:color="auto"/>
        <w:right w:val="none" w:sz="0" w:space="0" w:color="auto"/>
      </w:divBdr>
    </w:div>
    <w:div w:id="413673815">
      <w:bodyDiv w:val="1"/>
      <w:marLeft w:val="0"/>
      <w:marRight w:val="0"/>
      <w:marTop w:val="0"/>
      <w:marBottom w:val="0"/>
      <w:divBdr>
        <w:top w:val="none" w:sz="0" w:space="0" w:color="auto"/>
        <w:left w:val="none" w:sz="0" w:space="0" w:color="auto"/>
        <w:bottom w:val="none" w:sz="0" w:space="0" w:color="auto"/>
        <w:right w:val="none" w:sz="0" w:space="0" w:color="auto"/>
      </w:divBdr>
    </w:div>
    <w:div w:id="446239733">
      <w:bodyDiv w:val="1"/>
      <w:marLeft w:val="0"/>
      <w:marRight w:val="0"/>
      <w:marTop w:val="0"/>
      <w:marBottom w:val="0"/>
      <w:divBdr>
        <w:top w:val="none" w:sz="0" w:space="0" w:color="auto"/>
        <w:left w:val="none" w:sz="0" w:space="0" w:color="auto"/>
        <w:bottom w:val="none" w:sz="0" w:space="0" w:color="auto"/>
        <w:right w:val="none" w:sz="0" w:space="0" w:color="auto"/>
      </w:divBdr>
      <w:divsChild>
        <w:div w:id="1788740739">
          <w:marLeft w:val="0"/>
          <w:marRight w:val="0"/>
          <w:marTop w:val="0"/>
          <w:marBottom w:val="0"/>
          <w:divBdr>
            <w:top w:val="none" w:sz="0" w:space="0" w:color="auto"/>
            <w:left w:val="none" w:sz="0" w:space="0" w:color="auto"/>
            <w:bottom w:val="none" w:sz="0" w:space="0" w:color="auto"/>
            <w:right w:val="none" w:sz="0" w:space="0" w:color="auto"/>
          </w:divBdr>
        </w:div>
      </w:divsChild>
    </w:div>
    <w:div w:id="494106642">
      <w:bodyDiv w:val="1"/>
      <w:marLeft w:val="0"/>
      <w:marRight w:val="0"/>
      <w:marTop w:val="0"/>
      <w:marBottom w:val="0"/>
      <w:divBdr>
        <w:top w:val="none" w:sz="0" w:space="0" w:color="auto"/>
        <w:left w:val="none" w:sz="0" w:space="0" w:color="auto"/>
        <w:bottom w:val="none" w:sz="0" w:space="0" w:color="auto"/>
        <w:right w:val="none" w:sz="0" w:space="0" w:color="auto"/>
      </w:divBdr>
    </w:div>
    <w:div w:id="773326647">
      <w:bodyDiv w:val="1"/>
      <w:marLeft w:val="0"/>
      <w:marRight w:val="0"/>
      <w:marTop w:val="0"/>
      <w:marBottom w:val="0"/>
      <w:divBdr>
        <w:top w:val="none" w:sz="0" w:space="0" w:color="auto"/>
        <w:left w:val="none" w:sz="0" w:space="0" w:color="auto"/>
        <w:bottom w:val="none" w:sz="0" w:space="0" w:color="auto"/>
        <w:right w:val="none" w:sz="0" w:space="0" w:color="auto"/>
      </w:divBdr>
    </w:div>
    <w:div w:id="902181168">
      <w:bodyDiv w:val="1"/>
      <w:marLeft w:val="0"/>
      <w:marRight w:val="0"/>
      <w:marTop w:val="0"/>
      <w:marBottom w:val="0"/>
      <w:divBdr>
        <w:top w:val="none" w:sz="0" w:space="0" w:color="auto"/>
        <w:left w:val="none" w:sz="0" w:space="0" w:color="auto"/>
        <w:bottom w:val="none" w:sz="0" w:space="0" w:color="auto"/>
        <w:right w:val="none" w:sz="0" w:space="0" w:color="auto"/>
      </w:divBdr>
    </w:div>
    <w:div w:id="946891812">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697074934">
      <w:bodyDiv w:val="1"/>
      <w:marLeft w:val="0"/>
      <w:marRight w:val="0"/>
      <w:marTop w:val="0"/>
      <w:marBottom w:val="0"/>
      <w:divBdr>
        <w:top w:val="none" w:sz="0" w:space="0" w:color="auto"/>
        <w:left w:val="none" w:sz="0" w:space="0" w:color="auto"/>
        <w:bottom w:val="none" w:sz="0" w:space="0" w:color="auto"/>
        <w:right w:val="none" w:sz="0" w:space="0" w:color="auto"/>
      </w:divBdr>
    </w:div>
    <w:div w:id="2017492077">
      <w:bodyDiv w:val="1"/>
      <w:marLeft w:val="0"/>
      <w:marRight w:val="0"/>
      <w:marTop w:val="0"/>
      <w:marBottom w:val="0"/>
      <w:divBdr>
        <w:top w:val="none" w:sz="0" w:space="0" w:color="auto"/>
        <w:left w:val="none" w:sz="0" w:space="0" w:color="auto"/>
        <w:bottom w:val="none" w:sz="0" w:space="0" w:color="auto"/>
        <w:right w:val="none" w:sz="0" w:space="0" w:color="auto"/>
      </w:divBdr>
      <w:divsChild>
        <w:div w:id="2032683343">
          <w:marLeft w:val="0"/>
          <w:marRight w:val="0"/>
          <w:marTop w:val="0"/>
          <w:marBottom w:val="0"/>
          <w:divBdr>
            <w:top w:val="none" w:sz="0" w:space="0" w:color="auto"/>
            <w:left w:val="none" w:sz="0" w:space="0" w:color="auto"/>
            <w:bottom w:val="none" w:sz="0" w:space="0" w:color="auto"/>
            <w:right w:val="none" w:sz="0" w:space="0" w:color="auto"/>
          </w:divBdr>
        </w:div>
      </w:divsChild>
    </w:div>
    <w:div w:id="2018338451">
      <w:bodyDiv w:val="1"/>
      <w:marLeft w:val="0"/>
      <w:marRight w:val="0"/>
      <w:marTop w:val="0"/>
      <w:marBottom w:val="0"/>
      <w:divBdr>
        <w:top w:val="none" w:sz="0" w:space="0" w:color="auto"/>
        <w:left w:val="none" w:sz="0" w:space="0" w:color="auto"/>
        <w:bottom w:val="none" w:sz="0" w:space="0" w:color="auto"/>
        <w:right w:val="none" w:sz="0" w:space="0" w:color="auto"/>
      </w:divBdr>
    </w:div>
    <w:div w:id="210549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1A060-FCE4-4C75-AE8F-A4B859504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1712</Words>
  <Characters>9765</Characters>
  <Application>Microsoft Office Word</Application>
  <DocSecurity>0</DocSecurity>
  <Lines>81</Lines>
  <Paragraphs>22</Paragraphs>
  <ScaleCrop>false</ScaleCrop>
  <Company/>
  <LinksUpToDate>false</LinksUpToDate>
  <CharactersWithSpaces>11455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2023-08-11T05:42:00Z</dcterms:created>
  <dcterms:modified xsi:type="dcterms:W3CDTF">2023-08-11T05:42:00Z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